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9"/>
        </w:rPr>
      </w:pPr>
    </w:p>
    <w:p>
      <w:pPr>
        <w:pStyle w:val="BodyText"/>
        <w:spacing w:line="405" w:lineRule="auto"/>
        <w:ind w:left="4403" w:right="4141"/>
        <w:jc w:val="center"/>
      </w:pPr>
      <w:r>
        <w:rPr/>
        <w:t>REQUEST FOR</w:t>
      </w:r>
      <w:r>
        <w:rPr>
          <w:spacing w:val="-9"/>
        </w:rPr>
        <w:t> </w:t>
      </w:r>
      <w:r>
        <w:rPr/>
        <w:t>PROPOSALS FOR</w:t>
      </w:r>
    </w:p>
    <w:p>
      <w:pPr>
        <w:pStyle w:val="BodyText"/>
        <w:spacing w:line="405" w:lineRule="auto" w:before="3"/>
        <w:ind w:left="4610" w:right="4347"/>
        <w:jc w:val="center"/>
      </w:pPr>
      <w:r>
        <w:rPr/>
        <w:t>CUSTOM</w:t>
      </w:r>
      <w:r>
        <w:rPr>
          <w:spacing w:val="-11"/>
        </w:rPr>
        <w:t> </w:t>
      </w:r>
      <w:r>
        <w:rPr/>
        <w:t>CASEWORK FOR</w:t>
      </w:r>
    </w:p>
    <w:p>
      <w:pPr>
        <w:pStyle w:val="BodyText"/>
        <w:spacing w:line="405" w:lineRule="auto" w:before="2"/>
        <w:ind w:left="3305" w:right="3046"/>
        <w:jc w:val="center"/>
      </w:pPr>
      <w:r>
        <w:rPr/>
        <w:t>THE CURATORS OF THE UNIVERSITY OF</w:t>
      </w:r>
      <w:r>
        <w:rPr>
          <w:spacing w:val="-26"/>
        </w:rPr>
        <w:t> </w:t>
      </w:r>
      <w:r>
        <w:rPr/>
        <w:t>MISSOURI FOR</w:t>
      </w:r>
    </w:p>
    <w:p>
      <w:pPr>
        <w:pStyle w:val="BodyText"/>
        <w:spacing w:before="2"/>
        <w:ind w:left="3305" w:right="2989"/>
        <w:jc w:val="center"/>
        <w:rPr>
          <w:rFonts w:ascii="Calibri"/>
          <w:i/>
        </w:rPr>
      </w:pPr>
      <w:r>
        <w:rPr/>
        <w:t>THE UNIVERSITY OF MISSOURI-COLUMBIA</w:t>
      </w:r>
      <w:r>
        <w:rPr>
          <w:rFonts w:ascii="Calibri"/>
          <w:i/>
        </w:rPr>
        <w:t> </w:t>
      </w:r>
    </w:p>
    <w:p>
      <w:pPr>
        <w:pStyle w:val="BodyText"/>
        <w:rPr>
          <w:rFonts w:ascii="Calibri"/>
          <w:i/>
        </w:rPr>
      </w:pPr>
    </w:p>
    <w:p>
      <w:pPr>
        <w:pStyle w:val="BodyText"/>
        <w:spacing w:before="8"/>
        <w:rPr>
          <w:rFonts w:ascii="Calibri"/>
          <w:i/>
          <w:sz w:val="19"/>
        </w:rPr>
      </w:pPr>
    </w:p>
    <w:p>
      <w:pPr>
        <w:pStyle w:val="BodyText"/>
        <w:ind w:left="4400" w:right="4141"/>
        <w:jc w:val="center"/>
      </w:pPr>
      <w:r>
        <w:rPr/>
        <w:t>RFP # 16 9007 DH C</w:t>
      </w:r>
    </w:p>
    <w:p>
      <w:pPr>
        <w:pStyle w:val="BodyText"/>
        <w:spacing w:before="9"/>
        <w:rPr>
          <w:sz w:val="16"/>
        </w:rPr>
      </w:pPr>
    </w:p>
    <w:p>
      <w:pPr>
        <w:pStyle w:val="BodyText"/>
        <w:spacing w:line="408" w:lineRule="auto"/>
        <w:ind w:left="4047" w:right="3782"/>
        <w:jc w:val="center"/>
      </w:pPr>
      <w:r>
        <w:rPr/>
        <w:t>OPENING DATE: APRIL 1, 2016 TIME: 2:00 PM, CT</w:t>
      </w:r>
    </w:p>
    <w:p>
      <w:pPr>
        <w:pStyle w:val="BodyText"/>
      </w:pPr>
    </w:p>
    <w:p>
      <w:pPr>
        <w:pStyle w:val="BodyText"/>
      </w:pPr>
    </w:p>
    <w:p>
      <w:pPr>
        <w:pStyle w:val="BodyText"/>
      </w:pPr>
    </w:p>
    <w:p>
      <w:pPr>
        <w:pStyle w:val="BodyText"/>
        <w:spacing w:before="6"/>
        <w:rPr>
          <w:sz w:val="29"/>
        </w:rPr>
      </w:pPr>
    </w:p>
    <w:p>
      <w:pPr>
        <w:pStyle w:val="BodyText"/>
        <w:ind w:left="4421" w:right="4005"/>
        <w:jc w:val="center"/>
      </w:pPr>
      <w:r>
        <w:rPr/>
        <w:t>Prepared</w:t>
      </w:r>
      <w:r>
        <w:rPr>
          <w:spacing w:val="-3"/>
        </w:rPr>
        <w:t> </w:t>
      </w:r>
      <w:r>
        <w:rPr/>
        <w:t>by:</w:t>
      </w:r>
    </w:p>
    <w:p>
      <w:pPr>
        <w:pStyle w:val="BodyText"/>
        <w:spacing w:before="9"/>
        <w:rPr>
          <w:sz w:val="16"/>
        </w:rPr>
      </w:pPr>
    </w:p>
    <w:p>
      <w:pPr>
        <w:pStyle w:val="BodyText"/>
        <w:spacing w:line="319" w:lineRule="exact"/>
        <w:ind w:left="4421" w:right="3981"/>
        <w:jc w:val="center"/>
      </w:pPr>
      <w:r>
        <w:rPr/>
        <w:t>Darla</w:t>
      </w:r>
      <w:r>
        <w:rPr>
          <w:spacing w:val="-2"/>
        </w:rPr>
        <w:t> </w:t>
      </w:r>
      <w:r>
        <w:rPr/>
        <w:t>Higgins</w:t>
      </w:r>
    </w:p>
    <w:p>
      <w:pPr>
        <w:pStyle w:val="BodyText"/>
        <w:spacing w:line="293" w:lineRule="exact"/>
        <w:ind w:left="5160"/>
      </w:pPr>
      <w:r>
        <w:rPr/>
        <w:t>Strategic Sourcing Specialist</w:t>
      </w:r>
    </w:p>
    <w:p>
      <w:pPr>
        <w:pStyle w:val="BodyText"/>
        <w:spacing w:line="204" w:lineRule="auto" w:before="15"/>
        <w:ind w:left="5160" w:right="1817"/>
      </w:pPr>
      <w:r>
        <w:rPr/>
        <w:t>University of Missouri System Supply Chain 2910 Lemone Industrial Blvd</w:t>
      </w:r>
    </w:p>
    <w:p>
      <w:pPr>
        <w:pStyle w:val="BodyText"/>
        <w:spacing w:line="304" w:lineRule="exact"/>
        <w:ind w:left="4275" w:right="3046"/>
        <w:jc w:val="center"/>
      </w:pPr>
      <w:r>
        <w:rPr/>
        <w:t>Columbia, MO 65201</w:t>
      </w:r>
    </w:p>
    <w:p>
      <w:pPr>
        <w:pStyle w:val="BodyText"/>
        <w:rPr>
          <w:sz w:val="20"/>
        </w:rPr>
      </w:pPr>
    </w:p>
    <w:p>
      <w:pPr>
        <w:pStyle w:val="BodyText"/>
        <w:rPr>
          <w:sz w:val="20"/>
        </w:rPr>
      </w:pPr>
    </w:p>
    <w:p>
      <w:pPr>
        <w:pStyle w:val="BodyText"/>
        <w:rPr>
          <w:sz w:val="20"/>
        </w:rPr>
      </w:pPr>
    </w:p>
    <w:p>
      <w:pPr>
        <w:pStyle w:val="BodyText"/>
        <w:spacing w:before="10"/>
        <w:rPr>
          <w:sz w:val="17"/>
        </w:rPr>
      </w:pPr>
    </w:p>
    <w:p>
      <w:pPr>
        <w:pStyle w:val="BodyText"/>
        <w:spacing w:line="345" w:lineRule="exact"/>
        <w:ind w:left="479"/>
      </w:pPr>
      <w:r>
        <w:rPr/>
        <w:t>Dated: March 7, 2016</w:t>
      </w:r>
    </w:p>
    <w:p>
      <w:pPr>
        <w:spacing w:after="0" w:line="345" w:lineRule="exact"/>
        <w:sectPr>
          <w:footerReference w:type="default" r:id="rId5"/>
          <w:type w:val="continuous"/>
          <w:pgSz w:w="12240" w:h="15840"/>
          <w:pgMar w:footer="894" w:top="1500" w:bottom="1080" w:left="600" w:right="500"/>
          <w:pgNumType w:start="1"/>
        </w:sectPr>
      </w:pPr>
    </w:p>
    <w:p>
      <w:pPr>
        <w:pStyle w:val="BodyText"/>
        <w:spacing w:line="325" w:lineRule="exact"/>
        <w:ind w:left="4431"/>
      </w:pPr>
      <w:r>
        <w:rPr/>
        <w:t>NOTICE TO RESPONDENTS</w:t>
      </w:r>
    </w:p>
    <w:p>
      <w:pPr>
        <w:pStyle w:val="BodyText"/>
      </w:pPr>
    </w:p>
    <w:p>
      <w:pPr>
        <w:pStyle w:val="BodyText"/>
      </w:pPr>
    </w:p>
    <w:p>
      <w:pPr>
        <w:pStyle w:val="BodyText"/>
        <w:spacing w:line="204" w:lineRule="auto" w:before="176"/>
        <w:ind w:left="480" w:right="213"/>
        <w:jc w:val="both"/>
      </w:pPr>
      <w:r>
        <w:rPr/>
        <w:t>The University of Missouri requests proposals for CUSTOM CASEWORK RFP # 16 9007 DH </w:t>
      </w:r>
      <w:r>
        <w:rPr>
          <w:spacing w:val="4"/>
        </w:rPr>
        <w:t>C, </w:t>
      </w:r>
      <w:r>
        <w:rPr/>
        <w:t>which will be received by the undersigned at the UM System Supply Chain, University of Missouri, 2910 Lemone Industrial Blvd,</w:t>
      </w:r>
      <w:r>
        <w:rPr>
          <w:spacing w:val="-10"/>
        </w:rPr>
        <w:t> </w:t>
      </w:r>
      <w:r>
        <w:rPr/>
        <w:t>Columbia,</w:t>
      </w:r>
      <w:r>
        <w:rPr>
          <w:spacing w:val="-10"/>
        </w:rPr>
        <w:t> </w:t>
      </w:r>
      <w:r>
        <w:rPr/>
        <w:t>MO</w:t>
      </w:r>
      <w:r>
        <w:rPr>
          <w:spacing w:val="-9"/>
        </w:rPr>
        <w:t> </w:t>
      </w:r>
      <w:r>
        <w:rPr/>
        <w:t>65201</w:t>
      </w:r>
      <w:r>
        <w:rPr>
          <w:spacing w:val="-8"/>
        </w:rPr>
        <w:t> </w:t>
      </w:r>
      <w:r>
        <w:rPr/>
        <w:t>until</w:t>
      </w:r>
      <w:r>
        <w:rPr>
          <w:spacing w:val="-8"/>
        </w:rPr>
        <w:t> </w:t>
      </w:r>
      <w:r>
        <w:rPr/>
        <w:t>2:00</w:t>
      </w:r>
      <w:r>
        <w:rPr>
          <w:spacing w:val="-8"/>
        </w:rPr>
        <w:t> </w:t>
      </w:r>
      <w:r>
        <w:rPr/>
        <w:t>p.m.,</w:t>
      </w:r>
      <w:r>
        <w:rPr>
          <w:spacing w:val="-9"/>
        </w:rPr>
        <w:t> </w:t>
      </w:r>
      <w:r>
        <w:rPr/>
        <w:t>CT,</w:t>
      </w:r>
      <w:r>
        <w:rPr>
          <w:spacing w:val="-8"/>
        </w:rPr>
        <w:t> </w:t>
      </w:r>
      <w:r>
        <w:rPr/>
        <w:t>April</w:t>
      </w:r>
      <w:r>
        <w:rPr>
          <w:spacing w:val="-8"/>
        </w:rPr>
        <w:t> </w:t>
      </w:r>
      <w:r>
        <w:rPr/>
        <w:t>1</w:t>
      </w:r>
      <w:r>
        <w:rPr>
          <w:spacing w:val="-8"/>
        </w:rPr>
        <w:t> </w:t>
      </w:r>
      <w:r>
        <w:rPr/>
        <w:t>,</w:t>
      </w:r>
      <w:r>
        <w:rPr>
          <w:spacing w:val="-9"/>
        </w:rPr>
        <w:t> </w:t>
      </w:r>
      <w:r>
        <w:rPr/>
        <w:t>2016</w:t>
      </w:r>
      <w:r>
        <w:rPr>
          <w:spacing w:val="-8"/>
        </w:rPr>
        <w:t> </w:t>
      </w:r>
      <w:r>
        <w:rPr/>
        <w:t>.</w:t>
      </w:r>
      <w:r>
        <w:rPr>
          <w:spacing w:val="34"/>
        </w:rPr>
        <w:t> </w:t>
      </w:r>
      <w:r>
        <w:rPr/>
        <w:t>Proposals</w:t>
      </w:r>
      <w:r>
        <w:rPr>
          <w:spacing w:val="-8"/>
        </w:rPr>
        <w:t> </w:t>
      </w:r>
      <w:r>
        <w:rPr/>
        <w:t>will</w:t>
      </w:r>
      <w:r>
        <w:rPr>
          <w:spacing w:val="-11"/>
        </w:rPr>
        <w:t> </w:t>
      </w:r>
      <w:r>
        <w:rPr/>
        <w:t>be</w:t>
      </w:r>
      <w:r>
        <w:rPr>
          <w:spacing w:val="-9"/>
        </w:rPr>
        <w:t> </w:t>
      </w:r>
      <w:r>
        <w:rPr/>
        <w:t>opened</w:t>
      </w:r>
      <w:r>
        <w:rPr>
          <w:spacing w:val="-9"/>
        </w:rPr>
        <w:t> </w:t>
      </w:r>
      <w:r>
        <w:rPr/>
        <w:t>and</w:t>
      </w:r>
      <w:r>
        <w:rPr>
          <w:spacing w:val="-8"/>
        </w:rPr>
        <w:t> </w:t>
      </w:r>
      <w:r>
        <w:rPr/>
        <w:t>identified</w:t>
      </w:r>
      <w:r>
        <w:rPr>
          <w:spacing w:val="-6"/>
        </w:rPr>
        <w:t> </w:t>
      </w:r>
      <w:r>
        <w:rPr/>
        <w:t>starting at 2:05 p.m.,</w:t>
      </w:r>
      <w:r>
        <w:rPr>
          <w:spacing w:val="-3"/>
        </w:rPr>
        <w:t> </w:t>
      </w:r>
      <w:r>
        <w:rPr/>
        <w:t>CT.</w:t>
      </w:r>
    </w:p>
    <w:p>
      <w:pPr>
        <w:pStyle w:val="BodyText"/>
        <w:spacing w:before="3"/>
        <w:rPr>
          <w:sz w:val="21"/>
        </w:rPr>
      </w:pPr>
    </w:p>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1"/>
        <w:gridCol w:w="429"/>
        <w:gridCol w:w="539"/>
        <w:gridCol w:w="5486"/>
      </w:tblGrid>
      <w:tr>
        <w:trPr>
          <w:trHeight w:val="3271" w:hRule="atLeast"/>
        </w:trPr>
        <w:tc>
          <w:tcPr>
            <w:tcW w:w="10665" w:type="dxa"/>
            <w:gridSpan w:val="4"/>
            <w:tcBorders>
              <w:top w:val="single" w:sz="4" w:space="0" w:color="000000"/>
              <w:left w:val="single" w:sz="4" w:space="0" w:color="000000"/>
              <w:right w:val="single" w:sz="4" w:space="0" w:color="000000"/>
            </w:tcBorders>
          </w:tcPr>
          <w:p>
            <w:pPr>
              <w:pStyle w:val="TableParagraph"/>
              <w:spacing w:before="18"/>
              <w:ind w:left="112" w:right="45"/>
              <w:jc w:val="both"/>
              <w:rPr>
                <w:i/>
                <w:sz w:val="24"/>
              </w:rPr>
            </w:pPr>
            <w:r>
              <w:rPr>
                <w:i/>
                <w:sz w:val="24"/>
              </w:rPr>
              <w:t>The University of Missouri System Supply Chain will conduct a Pre-Proposal Conference Call on March 16th, 2016, at 10:00 a.m. </w:t>
            </w:r>
            <w:r>
              <w:rPr>
                <w:i/>
                <w:spacing w:val="-3"/>
                <w:sz w:val="24"/>
                <w:u w:val="single"/>
              </w:rPr>
              <w:t>Respondents </w:t>
            </w:r>
            <w:r>
              <w:rPr>
                <w:i/>
                <w:sz w:val="24"/>
                <w:u w:val="single"/>
              </w:rPr>
              <w:t>are </w:t>
            </w:r>
            <w:r>
              <w:rPr>
                <w:i/>
                <w:spacing w:val="-3"/>
                <w:sz w:val="24"/>
                <w:u w:val="single"/>
              </w:rPr>
              <w:t>encouraged </w:t>
            </w:r>
            <w:r>
              <w:rPr>
                <w:i/>
                <w:sz w:val="24"/>
                <w:u w:val="single"/>
              </w:rPr>
              <w:t>to join </w:t>
            </w:r>
            <w:r>
              <w:rPr>
                <w:i/>
                <w:spacing w:val="-3"/>
                <w:sz w:val="24"/>
                <w:u w:val="single"/>
              </w:rPr>
              <w:t>attend </w:t>
            </w:r>
            <w:r>
              <w:rPr>
                <w:i/>
                <w:sz w:val="24"/>
                <w:u w:val="single"/>
              </w:rPr>
              <w:t>the </w:t>
            </w:r>
            <w:r>
              <w:rPr>
                <w:i/>
                <w:spacing w:val="-3"/>
                <w:sz w:val="24"/>
                <w:u w:val="single"/>
              </w:rPr>
              <w:t>conference </w:t>
            </w:r>
            <w:r>
              <w:rPr>
                <w:i/>
                <w:sz w:val="24"/>
                <w:u w:val="single"/>
              </w:rPr>
              <w:t>call.</w:t>
            </w:r>
            <w:r>
              <w:rPr>
                <w:i/>
                <w:sz w:val="24"/>
              </w:rPr>
              <w:t> The conference call will provide</w:t>
            </w:r>
            <w:r>
              <w:rPr>
                <w:i/>
                <w:spacing w:val="-24"/>
                <w:sz w:val="24"/>
              </w:rPr>
              <w:t> </w:t>
            </w:r>
            <w:r>
              <w:rPr>
                <w:i/>
                <w:sz w:val="24"/>
              </w:rPr>
              <w:t>a</w:t>
            </w:r>
            <w:r>
              <w:rPr>
                <w:i/>
                <w:spacing w:val="-24"/>
                <w:sz w:val="24"/>
              </w:rPr>
              <w:t> </w:t>
            </w:r>
            <w:r>
              <w:rPr>
                <w:i/>
                <w:sz w:val="24"/>
              </w:rPr>
              <w:t>detailed</w:t>
            </w:r>
            <w:r>
              <w:rPr>
                <w:i/>
                <w:spacing w:val="-23"/>
                <w:sz w:val="24"/>
              </w:rPr>
              <w:t> </w:t>
            </w:r>
            <w:r>
              <w:rPr>
                <w:i/>
                <w:sz w:val="24"/>
              </w:rPr>
              <w:t>explanation</w:t>
            </w:r>
            <w:r>
              <w:rPr>
                <w:i/>
                <w:spacing w:val="-22"/>
                <w:sz w:val="24"/>
              </w:rPr>
              <w:t> </w:t>
            </w:r>
            <w:r>
              <w:rPr>
                <w:i/>
                <w:sz w:val="24"/>
              </w:rPr>
              <w:t>of</w:t>
            </w:r>
            <w:r>
              <w:rPr>
                <w:i/>
                <w:spacing w:val="-23"/>
                <w:sz w:val="24"/>
              </w:rPr>
              <w:t> </w:t>
            </w:r>
            <w:r>
              <w:rPr>
                <w:i/>
                <w:sz w:val="24"/>
              </w:rPr>
              <w:t>the</w:t>
            </w:r>
            <w:r>
              <w:rPr>
                <w:i/>
                <w:spacing w:val="-22"/>
                <w:sz w:val="24"/>
              </w:rPr>
              <w:t> </w:t>
            </w:r>
            <w:r>
              <w:rPr>
                <w:i/>
                <w:sz w:val="24"/>
              </w:rPr>
              <w:t>purpose</w:t>
            </w:r>
            <w:r>
              <w:rPr>
                <w:i/>
                <w:spacing w:val="-22"/>
                <w:sz w:val="24"/>
              </w:rPr>
              <w:t> </w:t>
            </w:r>
            <w:r>
              <w:rPr>
                <w:i/>
                <w:sz w:val="24"/>
              </w:rPr>
              <w:t>of</w:t>
            </w:r>
            <w:r>
              <w:rPr>
                <w:i/>
                <w:spacing w:val="-23"/>
                <w:sz w:val="24"/>
              </w:rPr>
              <w:t> </w:t>
            </w:r>
            <w:r>
              <w:rPr>
                <w:i/>
                <w:sz w:val="24"/>
              </w:rPr>
              <w:t>the</w:t>
            </w:r>
            <w:r>
              <w:rPr>
                <w:i/>
                <w:spacing w:val="-22"/>
                <w:sz w:val="24"/>
              </w:rPr>
              <w:t> </w:t>
            </w:r>
            <w:r>
              <w:rPr>
                <w:i/>
                <w:sz w:val="24"/>
              </w:rPr>
              <w:t>Proposal,</w:t>
            </w:r>
            <w:r>
              <w:rPr>
                <w:i/>
                <w:spacing w:val="-22"/>
                <w:sz w:val="24"/>
              </w:rPr>
              <w:t> </w:t>
            </w:r>
            <w:r>
              <w:rPr>
                <w:i/>
                <w:sz w:val="24"/>
              </w:rPr>
              <w:t>the</w:t>
            </w:r>
            <w:r>
              <w:rPr>
                <w:i/>
                <w:spacing w:val="-23"/>
                <w:sz w:val="24"/>
              </w:rPr>
              <w:t> </w:t>
            </w:r>
            <w:r>
              <w:rPr>
                <w:i/>
                <w:sz w:val="24"/>
              </w:rPr>
              <w:t>process</w:t>
            </w:r>
            <w:r>
              <w:rPr>
                <w:i/>
                <w:spacing w:val="-22"/>
                <w:sz w:val="24"/>
              </w:rPr>
              <w:t> </w:t>
            </w:r>
            <w:r>
              <w:rPr>
                <w:i/>
                <w:sz w:val="24"/>
              </w:rPr>
              <w:t>in</w:t>
            </w:r>
            <w:r>
              <w:rPr>
                <w:i/>
                <w:spacing w:val="-24"/>
                <w:sz w:val="24"/>
              </w:rPr>
              <w:t> </w:t>
            </w:r>
            <w:r>
              <w:rPr>
                <w:i/>
                <w:sz w:val="24"/>
              </w:rPr>
              <w:t>which</w:t>
            </w:r>
            <w:r>
              <w:rPr>
                <w:i/>
                <w:spacing w:val="-23"/>
                <w:sz w:val="24"/>
              </w:rPr>
              <w:t> </w:t>
            </w:r>
            <w:r>
              <w:rPr>
                <w:i/>
                <w:sz w:val="24"/>
              </w:rPr>
              <w:t>contractors</w:t>
            </w:r>
            <w:r>
              <w:rPr>
                <w:i/>
                <w:spacing w:val="-22"/>
                <w:sz w:val="24"/>
              </w:rPr>
              <w:t> </w:t>
            </w:r>
            <w:r>
              <w:rPr>
                <w:i/>
                <w:sz w:val="24"/>
              </w:rPr>
              <w:t>will</w:t>
            </w:r>
            <w:r>
              <w:rPr>
                <w:i/>
                <w:spacing w:val="-24"/>
                <w:sz w:val="24"/>
              </w:rPr>
              <w:t> </w:t>
            </w:r>
            <w:r>
              <w:rPr>
                <w:i/>
                <w:sz w:val="24"/>
              </w:rPr>
              <w:t>be</w:t>
            </w:r>
            <w:r>
              <w:rPr>
                <w:i/>
                <w:spacing w:val="-22"/>
                <w:sz w:val="24"/>
              </w:rPr>
              <w:t> </w:t>
            </w:r>
            <w:r>
              <w:rPr>
                <w:i/>
                <w:sz w:val="24"/>
              </w:rPr>
              <w:t>informed and</w:t>
            </w:r>
            <w:r>
              <w:rPr>
                <w:i/>
                <w:spacing w:val="-11"/>
                <w:sz w:val="24"/>
              </w:rPr>
              <w:t> </w:t>
            </w:r>
            <w:r>
              <w:rPr>
                <w:i/>
                <w:sz w:val="24"/>
              </w:rPr>
              <w:t>awarded</w:t>
            </w:r>
            <w:r>
              <w:rPr>
                <w:i/>
                <w:spacing w:val="-11"/>
                <w:sz w:val="24"/>
              </w:rPr>
              <w:t> </w:t>
            </w:r>
            <w:r>
              <w:rPr>
                <w:i/>
                <w:sz w:val="24"/>
              </w:rPr>
              <w:t>future</w:t>
            </w:r>
            <w:r>
              <w:rPr>
                <w:i/>
                <w:spacing w:val="-9"/>
                <w:sz w:val="24"/>
              </w:rPr>
              <w:t> </w:t>
            </w:r>
            <w:r>
              <w:rPr>
                <w:i/>
                <w:sz w:val="24"/>
              </w:rPr>
              <w:t>University</w:t>
            </w:r>
            <w:r>
              <w:rPr>
                <w:i/>
                <w:spacing w:val="-8"/>
                <w:sz w:val="24"/>
              </w:rPr>
              <w:t> </w:t>
            </w:r>
            <w:r>
              <w:rPr>
                <w:i/>
                <w:sz w:val="24"/>
              </w:rPr>
              <w:t>of</w:t>
            </w:r>
            <w:r>
              <w:rPr>
                <w:i/>
                <w:spacing w:val="-8"/>
                <w:sz w:val="24"/>
              </w:rPr>
              <w:t> </w:t>
            </w:r>
            <w:r>
              <w:rPr>
                <w:i/>
                <w:sz w:val="24"/>
              </w:rPr>
              <w:t>Missouri</w:t>
            </w:r>
            <w:r>
              <w:rPr>
                <w:i/>
                <w:spacing w:val="-10"/>
                <w:sz w:val="24"/>
              </w:rPr>
              <w:t> </w:t>
            </w:r>
            <w:r>
              <w:rPr>
                <w:i/>
                <w:sz w:val="24"/>
              </w:rPr>
              <w:t>Casework</w:t>
            </w:r>
            <w:r>
              <w:rPr>
                <w:i/>
                <w:spacing w:val="-9"/>
                <w:sz w:val="24"/>
              </w:rPr>
              <w:t> </w:t>
            </w:r>
            <w:r>
              <w:rPr>
                <w:i/>
                <w:sz w:val="24"/>
              </w:rPr>
              <w:t>projects.</w:t>
            </w:r>
            <w:r>
              <w:rPr>
                <w:i/>
                <w:spacing w:val="35"/>
                <w:sz w:val="24"/>
              </w:rPr>
              <w:t> </w:t>
            </w:r>
            <w:r>
              <w:rPr>
                <w:i/>
                <w:sz w:val="24"/>
              </w:rPr>
              <w:t>The</w:t>
            </w:r>
            <w:r>
              <w:rPr>
                <w:i/>
                <w:spacing w:val="-9"/>
                <w:sz w:val="24"/>
              </w:rPr>
              <w:t> </w:t>
            </w:r>
            <w:r>
              <w:rPr>
                <w:i/>
                <w:sz w:val="24"/>
              </w:rPr>
              <w:t>pre-proposal</w:t>
            </w:r>
            <w:r>
              <w:rPr>
                <w:i/>
                <w:spacing w:val="-11"/>
                <w:sz w:val="24"/>
              </w:rPr>
              <w:t> </w:t>
            </w:r>
            <w:r>
              <w:rPr>
                <w:i/>
                <w:sz w:val="24"/>
              </w:rPr>
              <w:t>conference</w:t>
            </w:r>
            <w:r>
              <w:rPr>
                <w:i/>
                <w:spacing w:val="-8"/>
                <w:sz w:val="24"/>
              </w:rPr>
              <w:t> </w:t>
            </w:r>
            <w:r>
              <w:rPr>
                <w:i/>
                <w:sz w:val="24"/>
              </w:rPr>
              <w:t>call</w:t>
            </w:r>
            <w:r>
              <w:rPr>
                <w:i/>
                <w:spacing w:val="-11"/>
                <w:sz w:val="24"/>
              </w:rPr>
              <w:t> </w:t>
            </w:r>
            <w:r>
              <w:rPr>
                <w:i/>
                <w:sz w:val="24"/>
              </w:rPr>
              <w:t>will</w:t>
            </w:r>
            <w:r>
              <w:rPr>
                <w:i/>
                <w:spacing w:val="-8"/>
                <w:sz w:val="24"/>
              </w:rPr>
              <w:t> </w:t>
            </w:r>
            <w:r>
              <w:rPr>
                <w:i/>
                <w:sz w:val="24"/>
              </w:rPr>
              <w:t>allow</w:t>
            </w:r>
            <w:r>
              <w:rPr>
                <w:i/>
                <w:spacing w:val="-10"/>
                <w:sz w:val="24"/>
              </w:rPr>
              <w:t> </w:t>
            </w:r>
            <w:r>
              <w:rPr>
                <w:i/>
                <w:sz w:val="24"/>
              </w:rPr>
              <w:t>for a questions and answers; from both University Facilities Services and Procurement</w:t>
            </w:r>
            <w:r>
              <w:rPr>
                <w:i/>
                <w:spacing w:val="-36"/>
                <w:sz w:val="24"/>
              </w:rPr>
              <w:t> </w:t>
            </w:r>
            <w:r>
              <w:rPr>
                <w:i/>
                <w:sz w:val="24"/>
              </w:rPr>
              <w:t>Services.</w:t>
            </w:r>
            <w:r>
              <w:rPr>
                <w:i/>
                <w:spacing w:val="-1"/>
                <w:sz w:val="24"/>
              </w:rPr>
              <w:t> </w:t>
            </w:r>
            <w:r>
              <w:rPr>
                <w:i/>
                <w:sz w:val="24"/>
              </w:rPr>
              <w:t> </w:t>
            </w:r>
          </w:p>
          <w:p>
            <w:pPr>
              <w:pStyle w:val="TableParagraph"/>
              <w:spacing w:before="2"/>
              <w:ind w:left="112"/>
              <w:rPr>
                <w:i/>
                <w:sz w:val="24"/>
              </w:rPr>
            </w:pPr>
            <w:r>
              <w:rPr>
                <w:i/>
                <w:sz w:val="24"/>
              </w:rPr>
              <w:t> </w:t>
            </w:r>
          </w:p>
          <w:p>
            <w:pPr>
              <w:pStyle w:val="TableParagraph"/>
              <w:ind w:left="112" w:right="46"/>
              <w:jc w:val="both"/>
              <w:rPr>
                <w:i/>
                <w:sz w:val="24"/>
              </w:rPr>
            </w:pPr>
            <w:r>
              <w:rPr>
                <w:i/>
                <w:sz w:val="24"/>
              </w:rPr>
              <w:t>The purpose of this Request for Proposal is to allow the University of Missouri – Facilities Services </w:t>
            </w:r>
            <w:r>
              <w:rPr>
                <w:i/>
                <w:spacing w:val="-3"/>
                <w:sz w:val="24"/>
              </w:rPr>
              <w:t>to </w:t>
            </w:r>
            <w:r>
              <w:rPr>
                <w:i/>
                <w:sz w:val="24"/>
              </w:rPr>
              <w:t>acquire pre-qualified</w:t>
            </w:r>
            <w:r>
              <w:rPr>
                <w:i/>
                <w:spacing w:val="-21"/>
                <w:sz w:val="24"/>
              </w:rPr>
              <w:t> </w:t>
            </w:r>
            <w:r>
              <w:rPr>
                <w:i/>
                <w:sz w:val="24"/>
              </w:rPr>
              <w:t>Casework</w:t>
            </w:r>
            <w:r>
              <w:rPr>
                <w:i/>
                <w:spacing w:val="-21"/>
                <w:sz w:val="24"/>
              </w:rPr>
              <w:t> </w:t>
            </w:r>
            <w:r>
              <w:rPr>
                <w:i/>
                <w:sz w:val="24"/>
              </w:rPr>
              <w:t>Contractors</w:t>
            </w:r>
            <w:r>
              <w:rPr>
                <w:i/>
                <w:spacing w:val="-23"/>
                <w:sz w:val="24"/>
              </w:rPr>
              <w:t> </w:t>
            </w:r>
            <w:r>
              <w:rPr>
                <w:i/>
                <w:sz w:val="24"/>
              </w:rPr>
              <w:t>for</w:t>
            </w:r>
            <w:r>
              <w:rPr>
                <w:i/>
                <w:spacing w:val="-21"/>
                <w:sz w:val="24"/>
              </w:rPr>
              <w:t> </w:t>
            </w:r>
            <w:r>
              <w:rPr>
                <w:i/>
                <w:sz w:val="24"/>
              </w:rPr>
              <w:t>future</w:t>
            </w:r>
            <w:r>
              <w:rPr>
                <w:i/>
                <w:spacing w:val="-21"/>
                <w:sz w:val="24"/>
              </w:rPr>
              <w:t> </w:t>
            </w:r>
            <w:r>
              <w:rPr>
                <w:i/>
                <w:sz w:val="24"/>
              </w:rPr>
              <w:t>University</w:t>
            </w:r>
            <w:r>
              <w:rPr>
                <w:i/>
                <w:spacing w:val="-21"/>
                <w:sz w:val="24"/>
              </w:rPr>
              <w:t> </w:t>
            </w:r>
            <w:r>
              <w:rPr>
                <w:i/>
                <w:sz w:val="24"/>
              </w:rPr>
              <w:t>of</w:t>
            </w:r>
            <w:r>
              <w:rPr>
                <w:i/>
                <w:spacing w:val="-20"/>
                <w:sz w:val="24"/>
              </w:rPr>
              <w:t> </w:t>
            </w:r>
            <w:r>
              <w:rPr>
                <w:i/>
                <w:sz w:val="24"/>
              </w:rPr>
              <w:t>Missouri</w:t>
            </w:r>
            <w:r>
              <w:rPr>
                <w:i/>
                <w:spacing w:val="-21"/>
                <w:sz w:val="24"/>
              </w:rPr>
              <w:t> </w:t>
            </w:r>
            <w:r>
              <w:rPr>
                <w:i/>
                <w:sz w:val="24"/>
              </w:rPr>
              <w:t>projects.</w:t>
            </w:r>
            <w:r>
              <w:rPr>
                <w:i/>
                <w:spacing w:val="19"/>
                <w:sz w:val="24"/>
              </w:rPr>
              <w:t> </w:t>
            </w:r>
            <w:r>
              <w:rPr>
                <w:i/>
                <w:sz w:val="24"/>
              </w:rPr>
              <w:t>If</w:t>
            </w:r>
            <w:r>
              <w:rPr>
                <w:i/>
                <w:spacing w:val="-22"/>
                <w:sz w:val="24"/>
              </w:rPr>
              <w:t> </w:t>
            </w:r>
            <w:r>
              <w:rPr>
                <w:i/>
                <w:sz w:val="24"/>
              </w:rPr>
              <w:t>you</w:t>
            </w:r>
            <w:r>
              <w:rPr>
                <w:i/>
                <w:spacing w:val="-23"/>
                <w:sz w:val="24"/>
              </w:rPr>
              <w:t> </w:t>
            </w:r>
            <w:r>
              <w:rPr>
                <w:i/>
                <w:sz w:val="24"/>
              </w:rPr>
              <w:t>are</w:t>
            </w:r>
            <w:r>
              <w:rPr>
                <w:i/>
                <w:spacing w:val="-21"/>
                <w:sz w:val="24"/>
              </w:rPr>
              <w:t> </w:t>
            </w:r>
            <w:r>
              <w:rPr>
                <w:i/>
                <w:sz w:val="24"/>
              </w:rPr>
              <w:t>a</w:t>
            </w:r>
            <w:r>
              <w:rPr>
                <w:i/>
                <w:spacing w:val="-21"/>
                <w:sz w:val="24"/>
              </w:rPr>
              <w:t> </w:t>
            </w:r>
            <w:r>
              <w:rPr>
                <w:i/>
                <w:sz w:val="24"/>
              </w:rPr>
              <w:t>Casework</w:t>
            </w:r>
            <w:r>
              <w:rPr>
                <w:i/>
                <w:spacing w:val="-23"/>
                <w:sz w:val="24"/>
              </w:rPr>
              <w:t> </w:t>
            </w:r>
            <w:r>
              <w:rPr>
                <w:i/>
                <w:sz w:val="24"/>
              </w:rPr>
              <w:t>contractor or company and seeking to do business with the University it is strongly encouraged that you respond to this Proposal and attend the</w:t>
            </w:r>
            <w:r>
              <w:rPr>
                <w:i/>
                <w:spacing w:val="-7"/>
                <w:sz w:val="24"/>
              </w:rPr>
              <w:t> </w:t>
            </w:r>
            <w:r>
              <w:rPr>
                <w:i/>
                <w:sz w:val="24"/>
              </w:rPr>
              <w:t>conference. </w:t>
            </w:r>
            <w:r>
              <w:rPr>
                <w:i/>
                <w:spacing w:val="-2"/>
                <w:sz w:val="24"/>
              </w:rPr>
              <w:t> </w:t>
            </w:r>
            <w:r>
              <w:rPr>
                <w:i/>
                <w:sz w:val="24"/>
              </w:rPr>
              <w:t> </w:t>
            </w:r>
          </w:p>
          <w:p>
            <w:pPr>
              <w:pStyle w:val="TableParagraph"/>
              <w:spacing w:line="292" w:lineRule="exact"/>
              <w:ind w:left="112"/>
              <w:jc w:val="both"/>
              <w:rPr>
                <w:i/>
                <w:sz w:val="24"/>
              </w:rPr>
            </w:pPr>
            <w:r>
              <w:rPr>
                <w:i/>
                <w:sz w:val="24"/>
              </w:rPr>
              <w:t> </w:t>
            </w:r>
          </w:p>
        </w:tc>
      </w:tr>
      <w:tr>
        <w:trPr>
          <w:trHeight w:val="286" w:hRule="atLeast"/>
        </w:trPr>
        <w:tc>
          <w:tcPr>
            <w:tcW w:w="4211" w:type="dxa"/>
            <w:tcBorders>
              <w:left w:val="single" w:sz="4" w:space="0" w:color="000000"/>
            </w:tcBorders>
          </w:tcPr>
          <w:p>
            <w:pPr>
              <w:pStyle w:val="TableParagraph"/>
              <w:spacing w:line="264" w:lineRule="exact"/>
              <w:ind w:left="112"/>
              <w:rPr>
                <w:i/>
                <w:sz w:val="24"/>
              </w:rPr>
            </w:pPr>
            <w:r>
              <w:rPr>
                <w:i/>
                <w:sz w:val="24"/>
              </w:rPr>
              <w:t>Conference Call Information:  </w:t>
            </w:r>
          </w:p>
        </w:tc>
        <w:tc>
          <w:tcPr>
            <w:tcW w:w="429" w:type="dxa"/>
          </w:tcPr>
          <w:p>
            <w:pPr>
              <w:pStyle w:val="TableParagraph"/>
              <w:spacing w:line="264" w:lineRule="exact"/>
              <w:ind w:left="0" w:right="145"/>
              <w:jc w:val="right"/>
              <w:rPr>
                <w:i/>
                <w:sz w:val="24"/>
              </w:rPr>
            </w:pPr>
            <w:r>
              <w:rPr>
                <w:i/>
                <w:sz w:val="24"/>
              </w:rPr>
              <w:t> </w:t>
            </w:r>
          </w:p>
        </w:tc>
        <w:tc>
          <w:tcPr>
            <w:tcW w:w="539" w:type="dxa"/>
          </w:tcPr>
          <w:p>
            <w:pPr>
              <w:pStyle w:val="TableParagraph"/>
              <w:spacing w:line="264" w:lineRule="exact"/>
              <w:ind w:left="158"/>
              <w:rPr>
                <w:i/>
                <w:sz w:val="24"/>
              </w:rPr>
            </w:pPr>
            <w:r>
              <w:rPr>
                <w:i/>
                <w:sz w:val="24"/>
              </w:rPr>
              <w:t> </w:t>
            </w:r>
          </w:p>
        </w:tc>
        <w:tc>
          <w:tcPr>
            <w:tcW w:w="5486" w:type="dxa"/>
            <w:tcBorders>
              <w:right w:val="single" w:sz="4" w:space="0" w:color="000000"/>
            </w:tcBorders>
          </w:tcPr>
          <w:p>
            <w:pPr>
              <w:pStyle w:val="TableParagraph"/>
              <w:spacing w:line="264" w:lineRule="exact"/>
              <w:ind w:left="339"/>
              <w:rPr>
                <w:i/>
                <w:sz w:val="24"/>
              </w:rPr>
            </w:pPr>
            <w:r>
              <w:rPr>
                <w:i/>
                <w:sz w:val="24"/>
              </w:rPr>
              <w:t>Date: March 16</w:t>
            </w:r>
            <w:r>
              <w:rPr>
                <w:i/>
                <w:position w:val="8"/>
                <w:sz w:val="16"/>
              </w:rPr>
              <w:t>th</w:t>
            </w:r>
            <w:r>
              <w:rPr>
                <w:i/>
                <w:sz w:val="24"/>
              </w:rPr>
              <w:t>, 2016 </w:t>
            </w:r>
          </w:p>
        </w:tc>
      </w:tr>
      <w:tr>
        <w:trPr>
          <w:trHeight w:val="585" w:hRule="atLeast"/>
        </w:trPr>
        <w:tc>
          <w:tcPr>
            <w:tcW w:w="4211" w:type="dxa"/>
            <w:tcBorders>
              <w:left w:val="single" w:sz="4" w:space="0" w:color="000000"/>
              <w:bottom w:val="single" w:sz="4" w:space="0" w:color="000000"/>
            </w:tcBorders>
          </w:tcPr>
          <w:p>
            <w:pPr>
              <w:pStyle w:val="TableParagraph"/>
              <w:spacing w:line="271" w:lineRule="exact"/>
              <w:ind w:left="112"/>
              <w:rPr>
                <w:i/>
                <w:sz w:val="24"/>
              </w:rPr>
            </w:pPr>
            <w:r>
              <w:rPr>
                <w:i/>
                <w:sz w:val="24"/>
              </w:rPr>
              <w:t>Toll-Free dial-in number: (866) 957-7737 </w:t>
            </w:r>
          </w:p>
          <w:p>
            <w:pPr>
              <w:pStyle w:val="TableParagraph"/>
              <w:ind w:left="112"/>
              <w:rPr>
                <w:i/>
                <w:sz w:val="24"/>
              </w:rPr>
            </w:pPr>
            <w:r>
              <w:rPr>
                <w:i/>
                <w:sz w:val="24"/>
              </w:rPr>
              <w:t>Conference Pin: 9770138353 </w:t>
            </w:r>
          </w:p>
        </w:tc>
        <w:tc>
          <w:tcPr>
            <w:tcW w:w="429" w:type="dxa"/>
            <w:tcBorders>
              <w:bottom w:val="single" w:sz="4" w:space="0" w:color="000000"/>
            </w:tcBorders>
          </w:tcPr>
          <w:p>
            <w:pPr>
              <w:pStyle w:val="TableParagraph"/>
              <w:spacing w:line="271" w:lineRule="exact"/>
              <w:ind w:left="0" w:right="144"/>
              <w:jc w:val="right"/>
              <w:rPr>
                <w:i/>
                <w:sz w:val="24"/>
              </w:rPr>
            </w:pPr>
            <w:r>
              <w:rPr>
                <w:i/>
                <w:sz w:val="24"/>
              </w:rPr>
              <w:t> </w:t>
            </w:r>
          </w:p>
        </w:tc>
        <w:tc>
          <w:tcPr>
            <w:tcW w:w="539" w:type="dxa"/>
            <w:tcBorders>
              <w:bottom w:val="single" w:sz="4" w:space="0" w:color="000000"/>
            </w:tcBorders>
          </w:tcPr>
          <w:p>
            <w:pPr>
              <w:pStyle w:val="TableParagraph"/>
              <w:spacing w:line="271" w:lineRule="exact"/>
              <w:ind w:left="158"/>
              <w:rPr>
                <w:i/>
                <w:sz w:val="24"/>
              </w:rPr>
            </w:pPr>
            <w:r>
              <w:rPr>
                <w:i/>
                <w:sz w:val="24"/>
              </w:rPr>
              <w:t> </w:t>
            </w:r>
          </w:p>
        </w:tc>
        <w:tc>
          <w:tcPr>
            <w:tcW w:w="5486" w:type="dxa"/>
            <w:tcBorders>
              <w:bottom w:val="single" w:sz="4" w:space="0" w:color="000000"/>
              <w:right w:val="single" w:sz="4" w:space="0" w:color="000000"/>
            </w:tcBorders>
          </w:tcPr>
          <w:p>
            <w:pPr>
              <w:pStyle w:val="TableParagraph"/>
              <w:spacing w:line="271" w:lineRule="exact"/>
              <w:ind w:left="339"/>
              <w:rPr>
                <w:i/>
                <w:sz w:val="24"/>
              </w:rPr>
            </w:pPr>
            <w:r>
              <w:rPr>
                <w:i/>
                <w:sz w:val="24"/>
              </w:rPr>
              <w:t>Time: 10:00 a.m. (CT) </w:t>
            </w:r>
          </w:p>
        </w:tc>
      </w:tr>
    </w:tbl>
    <w:p>
      <w:pPr>
        <w:pStyle w:val="BodyText"/>
      </w:pPr>
    </w:p>
    <w:p>
      <w:pPr>
        <w:pStyle w:val="BodyText"/>
        <w:spacing w:before="7"/>
        <w:rPr>
          <w:sz w:val="15"/>
        </w:rPr>
      </w:pPr>
    </w:p>
    <w:p>
      <w:pPr>
        <w:pStyle w:val="BodyText"/>
        <w:spacing w:line="204" w:lineRule="auto"/>
        <w:ind w:left="480" w:right="218"/>
        <w:jc w:val="both"/>
      </w:pPr>
      <w:r>
        <w:rPr/>
        <w:t>Specifications and the conditions of proposal together with the printed form on which proposals must be made may be obtained from the UM Procurement Services web site at </w:t>
      </w:r>
      <w:hyperlink r:id="rId6">
        <w:r>
          <w:rPr>
            <w:color w:val="0000FF"/>
            <w:u w:val="single" w:color="0000FF"/>
          </w:rPr>
          <w:t>http://www.pmm.missouri.edu</w:t>
        </w:r>
        <w:r>
          <w:rPr>
            <w:color w:val="0000FF"/>
          </w:rPr>
          <w:t> </w:t>
        </w:r>
      </w:hyperlink>
      <w:r>
        <w:rPr/>
        <w:t>by selecting bid information. Vendors are strongly encouraged to check the site periodically in the event addenda are issued.</w:t>
      </w:r>
    </w:p>
    <w:p>
      <w:pPr>
        <w:pStyle w:val="BodyText"/>
        <w:rPr>
          <w:sz w:val="20"/>
        </w:rPr>
      </w:pPr>
    </w:p>
    <w:p>
      <w:pPr>
        <w:pStyle w:val="BodyText"/>
        <w:spacing w:line="204" w:lineRule="auto"/>
        <w:ind w:left="480" w:right="217"/>
        <w:jc w:val="both"/>
      </w:pPr>
      <w:r>
        <w:rPr/>
        <w:t>The University of Missouri reserves the right to waive any informality in proposals and to reject any or all proposals.</w:t>
      </w:r>
    </w:p>
    <w:p>
      <w:pPr>
        <w:pStyle w:val="BodyText"/>
      </w:pPr>
    </w:p>
    <w:p>
      <w:pPr>
        <w:pStyle w:val="BodyText"/>
        <w:spacing w:before="6"/>
        <w:rPr>
          <w:sz w:val="16"/>
        </w:rPr>
      </w:pPr>
    </w:p>
    <w:p>
      <w:pPr>
        <w:pStyle w:val="BodyText"/>
        <w:spacing w:line="204" w:lineRule="auto" w:before="1"/>
        <w:ind w:left="5161" w:right="3470"/>
      </w:pPr>
      <w:r>
        <w:rPr/>
        <w:t>THE CURATORS OF THE UNIVERSITY OF MISSOURI</w:t>
      </w:r>
    </w:p>
    <w:p>
      <w:pPr>
        <w:pStyle w:val="BodyText"/>
        <w:spacing w:before="5"/>
        <w:rPr>
          <w:sz w:val="17"/>
        </w:rPr>
      </w:pPr>
    </w:p>
    <w:p>
      <w:pPr>
        <w:pStyle w:val="BodyText"/>
        <w:tabs>
          <w:tab w:pos="5880" w:val="left" w:leader="none"/>
        </w:tabs>
        <w:spacing w:line="319" w:lineRule="exact" w:before="1"/>
        <w:ind w:left="5161"/>
      </w:pPr>
      <w:r>
        <w:rPr/>
        <w:t>By:</w:t>
        <w:tab/>
        <w:t>Darla</w:t>
      </w:r>
      <w:r>
        <w:rPr>
          <w:spacing w:val="-1"/>
        </w:rPr>
        <w:t> </w:t>
      </w:r>
      <w:r>
        <w:rPr/>
        <w:t>Higgins,</w:t>
      </w:r>
    </w:p>
    <w:p>
      <w:pPr>
        <w:pStyle w:val="BodyText"/>
        <w:spacing w:line="293" w:lineRule="exact"/>
        <w:ind w:left="5869"/>
      </w:pPr>
      <w:r>
        <w:rPr/>
        <w:t>Strategic Sourcing Specialist</w:t>
      </w:r>
    </w:p>
    <w:p>
      <w:pPr>
        <w:pStyle w:val="BodyText"/>
        <w:spacing w:line="204" w:lineRule="auto" w:before="15"/>
        <w:ind w:left="5921" w:right="1097" w:hanging="41"/>
      </w:pPr>
      <w:r>
        <w:rPr/>
        <w:t>University of Missouri System Supply Chain </w:t>
      </w:r>
      <w:hyperlink r:id="rId7">
        <w:r>
          <w:rPr>
            <w:color w:val="0000FF"/>
            <w:u w:val="single" w:color="0000FF"/>
          </w:rPr>
          <w:t>higginsdj@umsystem.edu</w:t>
        </w:r>
      </w:hyperlink>
    </w:p>
    <w:p>
      <w:pPr>
        <w:pStyle w:val="BodyText"/>
        <w:rPr>
          <w:sz w:val="20"/>
        </w:rPr>
      </w:pPr>
    </w:p>
    <w:p>
      <w:pPr>
        <w:pStyle w:val="BodyText"/>
        <w:rPr>
          <w:sz w:val="20"/>
        </w:rPr>
      </w:pPr>
    </w:p>
    <w:p>
      <w:pPr>
        <w:pStyle w:val="BodyText"/>
        <w:spacing w:before="14"/>
        <w:rPr>
          <w:sz w:val="17"/>
        </w:rPr>
      </w:pPr>
    </w:p>
    <w:p>
      <w:pPr>
        <w:pStyle w:val="BodyText"/>
        <w:spacing w:line="345" w:lineRule="exact"/>
        <w:ind w:left="480"/>
      </w:pPr>
      <w:r>
        <w:rPr/>
        <w:t>Dated: March 7, 2016</w:t>
      </w:r>
    </w:p>
    <w:p>
      <w:pPr>
        <w:spacing w:after="0" w:line="345" w:lineRule="exact"/>
        <w:sectPr>
          <w:pgSz w:w="12240" w:h="15840"/>
          <w:pgMar w:header="0" w:footer="894" w:top="980" w:bottom="1120" w:left="600" w:right="500"/>
        </w:sectPr>
      </w:pPr>
    </w:p>
    <w:p>
      <w:pPr>
        <w:pStyle w:val="BodyText"/>
        <w:spacing w:line="204" w:lineRule="auto" w:before="28"/>
        <w:ind w:left="4030" w:right="3763"/>
        <w:jc w:val="center"/>
      </w:pPr>
      <w:r>
        <w:rPr/>
        <w:t>UNIVERSITY OF </w:t>
      </w:r>
      <w:r>
        <w:rPr>
          <w:spacing w:val="-3"/>
        </w:rPr>
        <w:t>MISSOURI GENERAL TERMS </w:t>
      </w:r>
      <w:r>
        <w:rPr/>
        <w:t>AND </w:t>
      </w:r>
      <w:r>
        <w:rPr>
          <w:spacing w:val="-3"/>
        </w:rPr>
        <w:t>CONDITIONS </w:t>
      </w:r>
      <w:r>
        <w:rPr/>
        <w:t>AND</w:t>
      </w:r>
    </w:p>
    <w:p>
      <w:pPr>
        <w:pStyle w:val="BodyText"/>
        <w:spacing w:line="204" w:lineRule="auto"/>
        <w:ind w:left="4047" w:right="3784"/>
        <w:jc w:val="center"/>
      </w:pPr>
      <w:r>
        <w:rPr/>
        <w:t>INSTRUCTIONS TO RESPONDENTS REQUEST FOR PROPOSAL (RFP)</w:t>
      </w:r>
    </w:p>
    <w:p>
      <w:pPr>
        <w:pStyle w:val="BodyText"/>
        <w:rPr>
          <w:sz w:val="17"/>
        </w:rPr>
      </w:pPr>
    </w:p>
    <w:p>
      <w:pPr>
        <w:pStyle w:val="ListParagraph"/>
        <w:numPr>
          <w:ilvl w:val="0"/>
          <w:numId w:val="1"/>
        </w:numPr>
        <w:tabs>
          <w:tab w:pos="778" w:val="left" w:leader="none"/>
        </w:tabs>
        <w:spacing w:line="240" w:lineRule="auto" w:before="0" w:after="0"/>
        <w:ind w:left="777" w:right="0" w:hanging="297"/>
        <w:jc w:val="left"/>
        <w:rPr>
          <w:sz w:val="24"/>
        </w:rPr>
      </w:pPr>
      <w:r>
        <w:rPr>
          <w:spacing w:val="-3"/>
          <w:sz w:val="24"/>
        </w:rPr>
        <w:t>GENERAL TERMS </w:t>
      </w:r>
      <w:r>
        <w:rPr>
          <w:sz w:val="24"/>
        </w:rPr>
        <w:t>AND</w:t>
      </w:r>
      <w:r>
        <w:rPr>
          <w:spacing w:val="-7"/>
          <w:sz w:val="24"/>
        </w:rPr>
        <w:t> </w:t>
      </w:r>
      <w:r>
        <w:rPr>
          <w:spacing w:val="-3"/>
          <w:sz w:val="24"/>
        </w:rPr>
        <w:t>CONDITIONS</w:t>
      </w:r>
    </w:p>
    <w:p>
      <w:pPr>
        <w:pStyle w:val="BodyText"/>
        <w:spacing w:before="10"/>
        <w:rPr>
          <w:sz w:val="19"/>
        </w:rPr>
      </w:pPr>
    </w:p>
    <w:p>
      <w:pPr>
        <w:pStyle w:val="ListParagraph"/>
        <w:numPr>
          <w:ilvl w:val="0"/>
          <w:numId w:val="2"/>
        </w:numPr>
        <w:tabs>
          <w:tab w:pos="841" w:val="left" w:leader="none"/>
        </w:tabs>
        <w:spacing w:line="204" w:lineRule="auto" w:before="1" w:after="0"/>
        <w:ind w:left="840" w:right="212" w:hanging="360"/>
        <w:jc w:val="both"/>
        <w:rPr>
          <w:sz w:val="24"/>
        </w:rPr>
      </w:pPr>
      <w:r>
        <w:rPr>
          <w:spacing w:val="-3"/>
          <w:sz w:val="24"/>
        </w:rPr>
        <w:t>Purpose:</w:t>
      </w:r>
      <w:r>
        <w:rPr>
          <w:spacing w:val="18"/>
          <w:sz w:val="24"/>
        </w:rPr>
        <w:t> </w:t>
      </w:r>
      <w:r>
        <w:rPr>
          <w:sz w:val="24"/>
        </w:rPr>
        <w:t>The</w:t>
      </w:r>
      <w:r>
        <w:rPr>
          <w:spacing w:val="-13"/>
          <w:sz w:val="24"/>
        </w:rPr>
        <w:t> </w:t>
      </w:r>
      <w:r>
        <w:rPr>
          <w:sz w:val="24"/>
        </w:rPr>
        <w:t>purpose</w:t>
      </w:r>
      <w:r>
        <w:rPr>
          <w:spacing w:val="-12"/>
          <w:sz w:val="24"/>
        </w:rPr>
        <w:t> </w:t>
      </w:r>
      <w:r>
        <w:rPr>
          <w:sz w:val="24"/>
        </w:rPr>
        <w:t>of</w:t>
      </w:r>
      <w:r>
        <w:rPr>
          <w:spacing w:val="-15"/>
          <w:sz w:val="24"/>
        </w:rPr>
        <w:t> </w:t>
      </w:r>
      <w:r>
        <w:rPr>
          <w:sz w:val="24"/>
        </w:rPr>
        <w:t>these</w:t>
      </w:r>
      <w:r>
        <w:rPr>
          <w:spacing w:val="-13"/>
          <w:sz w:val="24"/>
        </w:rPr>
        <w:t> </w:t>
      </w:r>
      <w:r>
        <w:rPr>
          <w:sz w:val="24"/>
        </w:rPr>
        <w:t>specifications</w:t>
      </w:r>
      <w:r>
        <w:rPr>
          <w:spacing w:val="-12"/>
          <w:sz w:val="24"/>
        </w:rPr>
        <w:t> </w:t>
      </w:r>
      <w:r>
        <w:rPr>
          <w:sz w:val="24"/>
        </w:rPr>
        <w:t>is</w:t>
      </w:r>
      <w:r>
        <w:rPr>
          <w:spacing w:val="-12"/>
          <w:sz w:val="24"/>
        </w:rPr>
        <w:t> </w:t>
      </w:r>
      <w:r>
        <w:rPr>
          <w:sz w:val="24"/>
        </w:rPr>
        <w:t>to</w:t>
      </w:r>
      <w:r>
        <w:rPr>
          <w:spacing w:val="-11"/>
          <w:sz w:val="24"/>
        </w:rPr>
        <w:t> </w:t>
      </w:r>
      <w:r>
        <w:rPr>
          <w:sz w:val="24"/>
        </w:rPr>
        <w:t>require</w:t>
      </w:r>
      <w:r>
        <w:rPr>
          <w:spacing w:val="-14"/>
          <w:sz w:val="24"/>
        </w:rPr>
        <w:t> </w:t>
      </w:r>
      <w:r>
        <w:rPr>
          <w:sz w:val="24"/>
        </w:rPr>
        <w:t>the</w:t>
      </w:r>
      <w:r>
        <w:rPr>
          <w:spacing w:val="-13"/>
          <w:sz w:val="24"/>
        </w:rPr>
        <w:t> </w:t>
      </w:r>
      <w:r>
        <w:rPr>
          <w:sz w:val="24"/>
        </w:rPr>
        <w:t>furnishing</w:t>
      </w:r>
      <w:r>
        <w:rPr>
          <w:spacing w:val="-12"/>
          <w:sz w:val="24"/>
        </w:rPr>
        <w:t> </w:t>
      </w:r>
      <w:r>
        <w:rPr>
          <w:sz w:val="24"/>
        </w:rPr>
        <w:t>of</w:t>
      </w:r>
      <w:r>
        <w:rPr>
          <w:spacing w:val="-13"/>
          <w:sz w:val="24"/>
        </w:rPr>
        <w:t> </w:t>
      </w:r>
      <w:r>
        <w:rPr>
          <w:sz w:val="24"/>
        </w:rPr>
        <w:t>the</w:t>
      </w:r>
      <w:r>
        <w:rPr>
          <w:spacing w:val="-12"/>
          <w:sz w:val="24"/>
        </w:rPr>
        <w:t> </w:t>
      </w:r>
      <w:r>
        <w:rPr>
          <w:sz w:val="24"/>
        </w:rPr>
        <w:t>highest</w:t>
      </w:r>
      <w:r>
        <w:rPr>
          <w:spacing w:val="-12"/>
          <w:sz w:val="24"/>
        </w:rPr>
        <w:t> </w:t>
      </w:r>
      <w:r>
        <w:rPr>
          <w:sz w:val="24"/>
        </w:rPr>
        <w:t>quality</w:t>
      </w:r>
      <w:r>
        <w:rPr>
          <w:spacing w:val="-13"/>
          <w:sz w:val="24"/>
        </w:rPr>
        <w:t> </w:t>
      </w:r>
      <w:r>
        <w:rPr>
          <w:sz w:val="24"/>
        </w:rPr>
        <w:t>equipment, supplies, material and/or service in accordance with the specifications. These documents, and any subsequent addenda, constitute the complete set of specification requirements and proposal response forms.</w:t>
      </w:r>
    </w:p>
    <w:p>
      <w:pPr>
        <w:pStyle w:val="BodyText"/>
        <w:spacing w:before="13"/>
        <w:rPr>
          <w:sz w:val="19"/>
        </w:rPr>
      </w:pPr>
    </w:p>
    <w:p>
      <w:pPr>
        <w:pStyle w:val="ListParagraph"/>
        <w:numPr>
          <w:ilvl w:val="0"/>
          <w:numId w:val="2"/>
        </w:numPr>
        <w:tabs>
          <w:tab w:pos="841" w:val="left" w:leader="none"/>
        </w:tabs>
        <w:spacing w:line="204" w:lineRule="auto" w:before="1" w:after="0"/>
        <w:ind w:left="840" w:right="214" w:hanging="360"/>
        <w:jc w:val="both"/>
        <w:rPr>
          <w:sz w:val="24"/>
        </w:rPr>
      </w:pPr>
      <w:r>
        <w:rPr>
          <w:sz w:val="24"/>
        </w:rPr>
        <w:t>Governing Laws and Regulations:</w:t>
      </w:r>
      <w:r>
        <w:rPr>
          <w:spacing w:val="2"/>
          <w:sz w:val="24"/>
        </w:rPr>
        <w:t> </w:t>
      </w:r>
      <w:r>
        <w:rPr>
          <w:sz w:val="24"/>
        </w:rPr>
        <w:t>Any contract issued as a result of this RFP shall be construed according to the laws of the State of Missouri. Additionally, the contractor shall comply with all local, state, and federal laws and regulations related to the performance of the contract to the extent that the same may be</w:t>
      </w:r>
      <w:r>
        <w:rPr>
          <w:spacing w:val="-1"/>
          <w:sz w:val="24"/>
        </w:rPr>
        <w:t> </w:t>
      </w:r>
      <w:r>
        <w:rPr>
          <w:sz w:val="24"/>
        </w:rPr>
        <w:t>applicable.</w:t>
      </w:r>
    </w:p>
    <w:p>
      <w:pPr>
        <w:pStyle w:val="BodyText"/>
        <w:spacing w:before="14"/>
        <w:rPr>
          <w:sz w:val="19"/>
        </w:rPr>
      </w:pPr>
    </w:p>
    <w:p>
      <w:pPr>
        <w:pStyle w:val="ListParagraph"/>
        <w:numPr>
          <w:ilvl w:val="0"/>
          <w:numId w:val="2"/>
        </w:numPr>
        <w:tabs>
          <w:tab w:pos="841" w:val="left" w:leader="none"/>
        </w:tabs>
        <w:spacing w:line="204" w:lineRule="auto" w:before="0" w:after="0"/>
        <w:ind w:left="840" w:right="215" w:hanging="360"/>
        <w:jc w:val="both"/>
        <w:rPr>
          <w:sz w:val="24"/>
        </w:rPr>
      </w:pPr>
      <w:r>
        <w:rPr>
          <w:sz w:val="24"/>
        </w:rPr>
        <w:t>Taxes:</w:t>
      </w:r>
      <w:r>
        <w:rPr>
          <w:spacing w:val="15"/>
          <w:sz w:val="24"/>
        </w:rPr>
        <w:t> </w:t>
      </w:r>
      <w:r>
        <w:rPr>
          <w:sz w:val="24"/>
        </w:rPr>
        <w:t>The</w:t>
      </w:r>
      <w:r>
        <w:rPr>
          <w:spacing w:val="-14"/>
          <w:sz w:val="24"/>
        </w:rPr>
        <w:t> </w:t>
      </w:r>
      <w:r>
        <w:rPr>
          <w:sz w:val="24"/>
        </w:rPr>
        <w:t>contractor</w:t>
      </w:r>
      <w:r>
        <w:rPr>
          <w:spacing w:val="-11"/>
          <w:sz w:val="24"/>
        </w:rPr>
        <w:t> </w:t>
      </w:r>
      <w:r>
        <w:rPr>
          <w:sz w:val="24"/>
        </w:rPr>
        <w:t>shall</w:t>
      </w:r>
      <w:r>
        <w:rPr>
          <w:spacing w:val="-12"/>
          <w:sz w:val="24"/>
        </w:rPr>
        <w:t> </w:t>
      </w:r>
      <w:r>
        <w:rPr>
          <w:sz w:val="24"/>
        </w:rPr>
        <w:t>assume</w:t>
      </w:r>
      <w:r>
        <w:rPr>
          <w:spacing w:val="-12"/>
          <w:sz w:val="24"/>
        </w:rPr>
        <w:t> </w:t>
      </w:r>
      <w:r>
        <w:rPr>
          <w:sz w:val="24"/>
        </w:rPr>
        <w:t>and</w:t>
      </w:r>
      <w:r>
        <w:rPr>
          <w:spacing w:val="-13"/>
          <w:sz w:val="24"/>
        </w:rPr>
        <w:t> </w:t>
      </w:r>
      <w:r>
        <w:rPr>
          <w:sz w:val="24"/>
        </w:rPr>
        <w:t>pay</w:t>
      </w:r>
      <w:r>
        <w:rPr>
          <w:spacing w:val="-14"/>
          <w:sz w:val="24"/>
        </w:rPr>
        <w:t> </w:t>
      </w:r>
      <w:r>
        <w:rPr>
          <w:sz w:val="24"/>
        </w:rPr>
        <w:t>all</w:t>
      </w:r>
      <w:r>
        <w:rPr>
          <w:spacing w:val="-13"/>
          <w:sz w:val="24"/>
        </w:rPr>
        <w:t> </w:t>
      </w:r>
      <w:r>
        <w:rPr>
          <w:sz w:val="24"/>
        </w:rPr>
        <w:t>taxes</w:t>
      </w:r>
      <w:r>
        <w:rPr>
          <w:spacing w:val="-10"/>
          <w:sz w:val="24"/>
        </w:rPr>
        <w:t> </w:t>
      </w:r>
      <w:r>
        <w:rPr>
          <w:sz w:val="24"/>
        </w:rPr>
        <w:t>and</w:t>
      </w:r>
      <w:r>
        <w:rPr>
          <w:spacing w:val="-14"/>
          <w:sz w:val="24"/>
        </w:rPr>
        <w:t> </w:t>
      </w:r>
      <w:r>
        <w:rPr>
          <w:sz w:val="24"/>
        </w:rPr>
        <w:t>contributions</w:t>
      </w:r>
      <w:r>
        <w:rPr>
          <w:spacing w:val="-12"/>
          <w:sz w:val="24"/>
        </w:rPr>
        <w:t> </w:t>
      </w:r>
      <w:r>
        <w:rPr>
          <w:sz w:val="24"/>
        </w:rPr>
        <w:t>including,</w:t>
      </w:r>
      <w:r>
        <w:rPr>
          <w:spacing w:val="-12"/>
          <w:sz w:val="24"/>
        </w:rPr>
        <w:t> </w:t>
      </w:r>
      <w:r>
        <w:rPr>
          <w:sz w:val="24"/>
        </w:rPr>
        <w:t>but</w:t>
      </w:r>
      <w:r>
        <w:rPr>
          <w:spacing w:val="-11"/>
          <w:sz w:val="24"/>
        </w:rPr>
        <w:t> </w:t>
      </w:r>
      <w:r>
        <w:rPr>
          <w:sz w:val="24"/>
        </w:rPr>
        <w:t>not</w:t>
      </w:r>
      <w:r>
        <w:rPr>
          <w:spacing w:val="-12"/>
          <w:sz w:val="24"/>
        </w:rPr>
        <w:t> </w:t>
      </w:r>
      <w:r>
        <w:rPr>
          <w:sz w:val="24"/>
        </w:rPr>
        <w:t>limited</w:t>
      </w:r>
      <w:r>
        <w:rPr>
          <w:spacing w:val="-13"/>
          <w:sz w:val="24"/>
        </w:rPr>
        <w:t> </w:t>
      </w:r>
      <w:r>
        <w:rPr>
          <w:sz w:val="24"/>
        </w:rPr>
        <w:t>to,</w:t>
      </w:r>
      <w:r>
        <w:rPr>
          <w:spacing w:val="-11"/>
          <w:sz w:val="24"/>
        </w:rPr>
        <w:t> </w:t>
      </w:r>
      <w:r>
        <w:rPr>
          <w:sz w:val="24"/>
        </w:rPr>
        <w:t>State, Federal and Municipal which are payable by virtue of the furnishing and delivery of item(s) specified herein. Materials and services furnished the University are not subject to either Federal Excise Taxes or Missouri Sales Tax.</w:t>
      </w:r>
    </w:p>
    <w:p>
      <w:pPr>
        <w:pStyle w:val="BodyText"/>
        <w:spacing w:before="2"/>
        <w:rPr>
          <w:sz w:val="20"/>
        </w:rPr>
      </w:pPr>
    </w:p>
    <w:p>
      <w:pPr>
        <w:pStyle w:val="ListParagraph"/>
        <w:numPr>
          <w:ilvl w:val="0"/>
          <w:numId w:val="2"/>
        </w:numPr>
        <w:tabs>
          <w:tab w:pos="841" w:val="left" w:leader="none"/>
        </w:tabs>
        <w:spacing w:line="204" w:lineRule="auto" w:before="0" w:after="0"/>
        <w:ind w:left="840" w:right="215" w:hanging="360"/>
        <w:jc w:val="both"/>
        <w:rPr>
          <w:sz w:val="24"/>
        </w:rPr>
      </w:pPr>
      <w:r>
        <w:rPr>
          <w:sz w:val="24"/>
        </w:rPr>
        <w:t>Sovereign </w:t>
      </w:r>
      <w:r>
        <w:rPr>
          <w:spacing w:val="-3"/>
          <w:sz w:val="24"/>
        </w:rPr>
        <w:t>Immunity: </w:t>
      </w:r>
      <w:r>
        <w:rPr>
          <w:sz w:val="24"/>
        </w:rPr>
        <w:t>The Curators of the University of Missouri, due to its status as a state entity and its entitlement to sovereign immunity, is unable to accept contract provisions, which require The Curators to indemnify another party (537.600, RSMo). Any indemnity language in proposed terms and conditions will be modified to conform to language that The Curators are able to</w:t>
      </w:r>
      <w:r>
        <w:rPr>
          <w:spacing w:val="-8"/>
          <w:sz w:val="24"/>
        </w:rPr>
        <w:t> </w:t>
      </w:r>
      <w:r>
        <w:rPr>
          <w:sz w:val="24"/>
        </w:rPr>
        <w:t>accept.</w:t>
      </w:r>
    </w:p>
    <w:p>
      <w:pPr>
        <w:pStyle w:val="BodyText"/>
        <w:rPr>
          <w:sz w:val="20"/>
        </w:rPr>
      </w:pPr>
    </w:p>
    <w:p>
      <w:pPr>
        <w:pStyle w:val="ListParagraph"/>
        <w:numPr>
          <w:ilvl w:val="0"/>
          <w:numId w:val="2"/>
        </w:numPr>
        <w:tabs>
          <w:tab w:pos="841" w:val="left" w:leader="none"/>
        </w:tabs>
        <w:spacing w:line="204" w:lineRule="auto" w:before="0" w:after="0"/>
        <w:ind w:left="840" w:right="218" w:hanging="360"/>
        <w:jc w:val="both"/>
        <w:rPr>
          <w:sz w:val="24"/>
        </w:rPr>
      </w:pPr>
      <w:r>
        <w:rPr>
          <w:sz w:val="24"/>
        </w:rPr>
        <w:t>Preference for</w:t>
      </w:r>
      <w:r>
        <w:rPr>
          <w:spacing w:val="-41"/>
          <w:sz w:val="24"/>
        </w:rPr>
        <w:t> </w:t>
      </w:r>
      <w:r>
        <w:rPr>
          <w:spacing w:val="-3"/>
          <w:sz w:val="24"/>
        </w:rPr>
        <w:t>Missouri </w:t>
      </w:r>
      <w:r>
        <w:rPr>
          <w:sz w:val="24"/>
        </w:rPr>
        <w:t>Firms: In accordance with University policy, preference shall be given to Missouri products, materials, services and firms when the goods or services to be provided are equally or better suited for the intended purpose and can be obtained without additional cost. Firms are considered "Missouri firms" if they maintain a regular place of business in the State of</w:t>
      </w:r>
      <w:r>
        <w:rPr>
          <w:spacing w:val="-8"/>
          <w:sz w:val="24"/>
        </w:rPr>
        <w:t> </w:t>
      </w:r>
      <w:r>
        <w:rPr>
          <w:sz w:val="24"/>
        </w:rPr>
        <w:t>Missouri.</w:t>
      </w:r>
    </w:p>
    <w:p>
      <w:pPr>
        <w:pStyle w:val="BodyText"/>
        <w:spacing w:before="14"/>
        <w:rPr>
          <w:sz w:val="19"/>
        </w:rPr>
      </w:pPr>
    </w:p>
    <w:p>
      <w:pPr>
        <w:pStyle w:val="ListParagraph"/>
        <w:numPr>
          <w:ilvl w:val="0"/>
          <w:numId w:val="2"/>
        </w:numPr>
        <w:tabs>
          <w:tab w:pos="841" w:val="left" w:leader="none"/>
        </w:tabs>
        <w:spacing w:line="204" w:lineRule="auto" w:before="0" w:after="0"/>
        <w:ind w:left="840" w:right="213" w:hanging="360"/>
        <w:jc w:val="both"/>
        <w:rPr>
          <w:sz w:val="24"/>
        </w:rPr>
      </w:pPr>
      <w:r>
        <w:rPr>
          <w:sz w:val="24"/>
        </w:rPr>
        <w:t>Equal </w:t>
      </w:r>
      <w:r>
        <w:rPr>
          <w:spacing w:val="-3"/>
          <w:sz w:val="24"/>
        </w:rPr>
        <w:t>Opportunity </w:t>
      </w:r>
      <w:r>
        <w:rPr>
          <w:sz w:val="24"/>
        </w:rPr>
        <w:t>and </w:t>
      </w:r>
      <w:r>
        <w:rPr>
          <w:spacing w:val="-3"/>
          <w:sz w:val="24"/>
        </w:rPr>
        <w:t>Non-Discrimination: </w:t>
      </w:r>
      <w:r>
        <w:rPr>
          <w:sz w:val="24"/>
        </w:rPr>
        <w:t>In connection with the furnishing of equipment, supplies, and/or services under the contract, the contractor and all subcontractors shall agree not to discriminate against any recipients of services, or employees or applicants for employment on the basis of race,</w:t>
      </w:r>
      <w:r>
        <w:rPr>
          <w:spacing w:val="-34"/>
          <w:sz w:val="24"/>
        </w:rPr>
        <w:t> </w:t>
      </w:r>
      <w:r>
        <w:rPr>
          <w:sz w:val="24"/>
        </w:rPr>
        <w:t>color, religion, national origin, sex, age, disability, or veteran status. The contractor shall comply with federal laws,</w:t>
      </w:r>
      <w:r>
        <w:rPr>
          <w:spacing w:val="-6"/>
          <w:sz w:val="24"/>
        </w:rPr>
        <w:t> </w:t>
      </w:r>
      <w:r>
        <w:rPr>
          <w:sz w:val="24"/>
        </w:rPr>
        <w:t>rules</w:t>
      </w:r>
      <w:r>
        <w:rPr>
          <w:spacing w:val="-3"/>
          <w:sz w:val="24"/>
        </w:rPr>
        <w:t> </w:t>
      </w:r>
      <w:r>
        <w:rPr>
          <w:sz w:val="24"/>
        </w:rPr>
        <w:t>and</w:t>
      </w:r>
      <w:r>
        <w:rPr>
          <w:spacing w:val="-4"/>
          <w:sz w:val="24"/>
        </w:rPr>
        <w:t> </w:t>
      </w:r>
      <w:r>
        <w:rPr>
          <w:sz w:val="24"/>
        </w:rPr>
        <w:t>regulations</w:t>
      </w:r>
      <w:r>
        <w:rPr>
          <w:spacing w:val="-5"/>
          <w:sz w:val="24"/>
        </w:rPr>
        <w:t> </w:t>
      </w:r>
      <w:r>
        <w:rPr>
          <w:sz w:val="24"/>
        </w:rPr>
        <w:t>applicable</w:t>
      </w:r>
      <w:r>
        <w:rPr>
          <w:spacing w:val="-5"/>
          <w:sz w:val="24"/>
        </w:rPr>
        <w:t> </w:t>
      </w:r>
      <w:r>
        <w:rPr>
          <w:sz w:val="24"/>
        </w:rPr>
        <w:t>to</w:t>
      </w:r>
      <w:r>
        <w:rPr>
          <w:spacing w:val="-6"/>
          <w:sz w:val="24"/>
        </w:rPr>
        <w:t> </w:t>
      </w:r>
      <w:r>
        <w:rPr>
          <w:sz w:val="24"/>
        </w:rPr>
        <w:t>subcontractors</w:t>
      </w:r>
      <w:r>
        <w:rPr>
          <w:spacing w:val="-4"/>
          <w:sz w:val="24"/>
        </w:rPr>
        <w:t> </w:t>
      </w:r>
      <w:r>
        <w:rPr>
          <w:sz w:val="24"/>
        </w:rPr>
        <w:t>of</w:t>
      </w:r>
      <w:r>
        <w:rPr>
          <w:spacing w:val="-4"/>
          <w:sz w:val="24"/>
        </w:rPr>
        <w:t> </w:t>
      </w:r>
      <w:r>
        <w:rPr>
          <w:sz w:val="24"/>
        </w:rPr>
        <w:t>government</w:t>
      </w:r>
      <w:r>
        <w:rPr>
          <w:spacing w:val="-3"/>
          <w:sz w:val="24"/>
        </w:rPr>
        <w:t> </w:t>
      </w:r>
      <w:r>
        <w:rPr>
          <w:sz w:val="24"/>
        </w:rPr>
        <w:t>contracts</w:t>
      </w:r>
      <w:r>
        <w:rPr>
          <w:spacing w:val="-4"/>
          <w:sz w:val="24"/>
        </w:rPr>
        <w:t> </w:t>
      </w:r>
      <w:r>
        <w:rPr>
          <w:sz w:val="24"/>
        </w:rPr>
        <w:t>including</w:t>
      </w:r>
      <w:r>
        <w:rPr>
          <w:spacing w:val="-4"/>
          <w:sz w:val="24"/>
        </w:rPr>
        <w:t> </w:t>
      </w:r>
      <w:r>
        <w:rPr>
          <w:sz w:val="24"/>
        </w:rPr>
        <w:t>those</w:t>
      </w:r>
      <w:r>
        <w:rPr>
          <w:spacing w:val="-5"/>
          <w:sz w:val="24"/>
        </w:rPr>
        <w:t> </w:t>
      </w:r>
      <w:r>
        <w:rPr>
          <w:sz w:val="24"/>
        </w:rPr>
        <w:t>relating to equal employment of minorities, women, persons with disabilities, and certain veterans. Contract clauses required by the United Sates Government in such circumstances are incorporated herein by reference.</w:t>
      </w:r>
    </w:p>
    <w:p>
      <w:pPr>
        <w:pStyle w:val="BodyText"/>
        <w:spacing w:before="3"/>
        <w:rPr>
          <w:sz w:val="25"/>
        </w:rPr>
      </w:pPr>
    </w:p>
    <w:p>
      <w:pPr>
        <w:pStyle w:val="ListParagraph"/>
        <w:numPr>
          <w:ilvl w:val="0"/>
          <w:numId w:val="2"/>
        </w:numPr>
        <w:tabs>
          <w:tab w:pos="841" w:val="left" w:leader="none"/>
        </w:tabs>
        <w:spacing w:line="240" w:lineRule="auto" w:before="0" w:after="0"/>
        <w:ind w:left="840" w:right="0" w:hanging="360"/>
        <w:jc w:val="left"/>
        <w:rPr>
          <w:sz w:val="24"/>
        </w:rPr>
      </w:pPr>
      <w:r>
        <w:rPr>
          <w:sz w:val="24"/>
        </w:rPr>
        <w:t>Supplier </w:t>
      </w:r>
      <w:r>
        <w:rPr>
          <w:spacing w:val="-3"/>
          <w:sz w:val="24"/>
        </w:rPr>
        <w:t>Diversity</w:t>
      </w:r>
      <w:r>
        <w:rPr>
          <w:spacing w:val="-36"/>
          <w:sz w:val="24"/>
        </w:rPr>
        <w:t> </w:t>
      </w:r>
      <w:r>
        <w:rPr>
          <w:sz w:val="24"/>
        </w:rPr>
        <w:t>Participation</w:t>
      </w:r>
    </w:p>
    <w:p>
      <w:pPr>
        <w:pStyle w:val="BodyText"/>
        <w:spacing w:line="319" w:lineRule="exact" w:before="67"/>
        <w:ind w:left="645"/>
      </w:pPr>
      <w:r>
        <w:rPr/>
        <w:t>It is the policy of the University of Missouri System to ensure full and equitable economic</w:t>
      </w:r>
    </w:p>
    <w:p>
      <w:pPr>
        <w:pStyle w:val="BodyText"/>
        <w:spacing w:line="204" w:lineRule="auto" w:before="16"/>
        <w:ind w:left="480"/>
      </w:pPr>
      <w:r>
        <w:rPr/>
        <w:t>opportunities to all persons and businesses that compete for business with the University. The University’s Supplier Diversity effort reflects that.</w:t>
      </w:r>
    </w:p>
    <w:p>
      <w:pPr>
        <w:spacing w:after="0" w:line="204" w:lineRule="auto"/>
        <w:sectPr>
          <w:pgSz w:w="12240" w:h="15840"/>
          <w:pgMar w:header="0" w:footer="894" w:top="680" w:bottom="1120" w:left="600" w:right="500"/>
        </w:sectPr>
      </w:pPr>
    </w:p>
    <w:p>
      <w:pPr>
        <w:pStyle w:val="BodyText"/>
        <w:spacing w:line="204" w:lineRule="auto" w:before="28"/>
        <w:ind w:left="480" w:right="339"/>
      </w:pPr>
      <w:r>
        <w:rPr/>
        <w:t>Diverse suppliers must be at least 51% owned and controlled by someone in one of the recognized groups (see below). Diverse suppliers should be certified from a recognized certifying agency. These firms can be a sole proprietorship, partnership, joint venture or corporation. Attachment A provides a list of agencies that are recognized as certifying agencies. The definition of what counts as a diverse supplier for the University of Missouri System are: Minority (MBE: African-American, Hispanic, Native-American Asian Indian/Pacific), Women (WBE), Veterans (VBE-Includes Service Disabled) and Disadvantaged Business Enterprises (DBE/SDB). Again, these firms must be certified to be recognized by University of Missouri System Supply Chain (UMSSC).</w:t>
      </w:r>
    </w:p>
    <w:p>
      <w:pPr>
        <w:pStyle w:val="BodyText"/>
        <w:spacing w:line="204" w:lineRule="auto" w:before="113"/>
        <w:ind w:left="479" w:right="250"/>
      </w:pPr>
      <w:r>
        <w:rPr/>
        <w:t>Second Tier Diverse Supplier Spending and Reporting: The University strongly encourages Supplier Diversity participation in all of its contracts for goods and services. This may be as the primary supplier/contractor for the awarded business. Diverse suppliers can also be used as subcontractors by a majority-owned supplier to fulfill its contract with the University. This is called 2</w:t>
      </w:r>
      <w:r>
        <w:rPr>
          <w:position w:val="8"/>
          <w:sz w:val="16"/>
        </w:rPr>
        <w:t>nd </w:t>
      </w:r>
      <w:r>
        <w:rPr/>
        <w:t>Tier spending. There are two ways this can be accomplished:</w:t>
      </w:r>
    </w:p>
    <w:p>
      <w:pPr>
        <w:pStyle w:val="BodyText"/>
        <w:spacing w:line="204" w:lineRule="auto" w:before="114"/>
        <w:ind w:left="480" w:right="339"/>
      </w:pPr>
      <w:r>
        <w:rPr/>
        <w:pict>
          <v:line style="position:absolute;mso-position-horizontal-relative:page;mso-position-vertical-relative:paragraph;z-index:-21280" from="54pt,19.5231pt" to="171.02pt,19.5231pt" stroked="true" strokeweight=".6pt" strokecolor="#000000">
            <v:stroke dashstyle="solid"/>
            <w10:wrap type="none"/>
          </v:line>
        </w:pict>
      </w:r>
      <w:r>
        <w:rPr/>
        <w:t>Direct 2</w:t>
      </w:r>
      <w:r>
        <w:rPr>
          <w:position w:val="8"/>
          <w:sz w:val="16"/>
        </w:rPr>
        <w:t>nd </w:t>
      </w:r>
      <w:r>
        <w:rPr/>
        <w:t>Tier spending: This is diverse supplier spending by a first tier supplier of goods and/ or services that directly fulfills a UM contract. The principle to follow— if the diverse supplier spending by the first tier supplier can be traced and tracked specifically to the contract, this is direct 2</w:t>
      </w:r>
      <w:r>
        <w:rPr>
          <w:position w:val="8"/>
          <w:sz w:val="16"/>
        </w:rPr>
        <w:t>nd </w:t>
      </w:r>
      <w:r>
        <w:rPr/>
        <w:t>tier spending.</w:t>
      </w:r>
    </w:p>
    <w:p>
      <w:pPr>
        <w:pStyle w:val="BodyText"/>
        <w:spacing w:line="204" w:lineRule="auto" w:before="117"/>
        <w:ind w:left="480" w:right="339"/>
      </w:pPr>
      <w:r>
        <w:rPr/>
        <w:pict>
          <v:line style="position:absolute;mso-position-horizontal-relative:page;mso-position-vertical-relative:paragraph;z-index:-21256" from="54pt,34.313087pt" to="559.3pt,34.313087pt" stroked="true" strokeweight=".6pt" strokecolor="#000000">
            <v:stroke dashstyle="solid"/>
            <w10:wrap type="none"/>
          </v:line>
        </w:pict>
      </w:r>
      <w:r>
        <w:rPr>
          <w:u w:val="single"/>
        </w:rPr>
        <w:t>Example: Company A is a prime supplier of office products to UMSSC. Ink pens that are supplied to UMSSC</w:t>
      </w:r>
      <w:r>
        <w:rPr/>
        <w:t> are provided by a minority-owned business. This would be direct 2</w:t>
      </w:r>
      <w:r>
        <w:rPr>
          <w:position w:val="8"/>
          <w:sz w:val="16"/>
        </w:rPr>
        <w:t>nd </w:t>
      </w:r>
      <w:r>
        <w:rPr/>
        <w:t>Tier. Dollars that can be tracked and </w:t>
      </w:r>
      <w:r>
        <w:rPr>
          <w:u w:val="single"/>
        </w:rPr>
        <w:t>traced to fulfilling the contract.</w:t>
      </w:r>
    </w:p>
    <w:p>
      <w:pPr>
        <w:pStyle w:val="BodyText"/>
        <w:rPr>
          <w:sz w:val="20"/>
        </w:rPr>
      </w:pPr>
    </w:p>
    <w:p>
      <w:pPr>
        <w:pStyle w:val="BodyText"/>
        <w:spacing w:before="7"/>
        <w:rPr>
          <w:sz w:val="12"/>
        </w:rPr>
      </w:pPr>
    </w:p>
    <w:p>
      <w:pPr>
        <w:pStyle w:val="BodyText"/>
        <w:spacing w:line="204" w:lineRule="auto" w:before="61"/>
        <w:ind w:left="480" w:right="328"/>
        <w:jc w:val="both"/>
      </w:pPr>
      <w:r>
        <w:rPr/>
        <w:pict>
          <v:line style="position:absolute;mso-position-horizontal-relative:page;mso-position-vertical-relative:paragraph;z-index:-21232" from="54pt,16.873091pt" to="179.18pt,16.873091pt" stroked="true" strokeweight=".6pt" strokecolor="#000000">
            <v:stroke dashstyle="solid"/>
            <w10:wrap type="none"/>
          </v:line>
        </w:pict>
      </w:r>
      <w:r>
        <w:rPr/>
        <w:t>Indirect 2</w:t>
      </w:r>
      <w:r>
        <w:rPr>
          <w:position w:val="8"/>
          <w:sz w:val="16"/>
        </w:rPr>
        <w:t>nd </w:t>
      </w:r>
      <w:r>
        <w:rPr/>
        <w:t>Tier spending: Calculates the 2</w:t>
      </w:r>
      <w:r>
        <w:rPr>
          <w:position w:val="8"/>
          <w:sz w:val="16"/>
        </w:rPr>
        <w:t>nd </w:t>
      </w:r>
      <w:r>
        <w:rPr/>
        <w:t>Tier spending by prorating the prime supplier’s company-wide diverse supplier spending with the percentage of its total business represented by the customer company’s business.</w:t>
      </w:r>
    </w:p>
    <w:p>
      <w:pPr>
        <w:pStyle w:val="BodyText"/>
        <w:spacing w:line="204" w:lineRule="auto" w:before="118"/>
        <w:ind w:left="480" w:right="262"/>
      </w:pPr>
      <w:r>
        <w:rPr/>
        <w:t>Example: Company B spends $100,000 with a Veteran-owned landscaping company. UMSSC comprises 20% of that company’s/subsidiary’s overall business revenue. Company B can report $20,000 to UMSSC as indirect 2md Tier spending.</w:t>
      </w:r>
    </w:p>
    <w:p>
      <w:pPr>
        <w:pStyle w:val="BodyText"/>
      </w:pPr>
    </w:p>
    <w:p>
      <w:pPr>
        <w:pStyle w:val="BodyText"/>
        <w:spacing w:before="2"/>
        <w:rPr>
          <w:sz w:val="30"/>
        </w:rPr>
      </w:pPr>
    </w:p>
    <w:p>
      <w:pPr>
        <w:pStyle w:val="BodyText"/>
        <w:ind w:left="480"/>
      </w:pPr>
      <w:r>
        <w:rPr/>
        <w:t>The Director of Supplier Diversity and Small Business Development can provide more detail.</w:t>
      </w:r>
    </w:p>
    <w:p>
      <w:pPr>
        <w:pStyle w:val="BodyText"/>
        <w:spacing w:line="204" w:lineRule="auto" w:before="109"/>
        <w:ind w:left="480" w:right="247"/>
      </w:pPr>
      <w:r>
        <w:rPr/>
        <w:t>Respondents must indicate their Supplier Diversity participation levels committed to this contract on the Supplier Diversity Participation Form included in this RFP (see Attachment B). The Respondent must describe what suppliers and/or how the Respondent will achieve the Supplier Diversity goals. Evaluation of proposals shall include the proposed level of Supplier Diversity participation. Proposals that do not</w:t>
      </w:r>
      <w:r>
        <w:rPr>
          <w:spacing w:val="-40"/>
        </w:rPr>
        <w:t> </w:t>
      </w:r>
      <w:r>
        <w:rPr/>
        <w:t>meet the participation requirements for Supplier Diversity will not receive any of the points during proposal</w:t>
      </w:r>
      <w:r>
        <w:rPr>
          <w:spacing w:val="-22"/>
        </w:rPr>
        <w:t> </w:t>
      </w:r>
      <w:r>
        <w:rPr/>
        <w:t>review.</w:t>
      </w:r>
    </w:p>
    <w:p>
      <w:pPr>
        <w:pStyle w:val="BodyText"/>
        <w:spacing w:line="204" w:lineRule="auto" w:before="114"/>
        <w:ind w:left="480" w:right="694"/>
      </w:pPr>
      <w:r>
        <w:rPr/>
        <w:t>Suppliers/</w:t>
      </w:r>
      <w:r>
        <w:rPr>
          <w:u w:val="single"/>
        </w:rPr>
        <w:t>contractors</w:t>
      </w:r>
      <w:r>
        <w:rPr/>
        <w:t> will be responsible for reporting diverse supplier participation on an agreed upon timing (e.g., quarterly, annually) when business is awarded.</w:t>
      </w:r>
    </w:p>
    <w:p>
      <w:pPr>
        <w:pStyle w:val="BodyText"/>
        <w:spacing w:line="204" w:lineRule="auto" w:before="120"/>
        <w:ind w:left="480" w:right="339"/>
      </w:pPr>
      <w:r>
        <w:rPr/>
        <w:t>The University will monitor the contractor/supplier’s compliance in meeting the Supplier Diversity participation levels committed to in the awarded proposal. If the contractor/supplier’s payments to</w:t>
      </w:r>
    </w:p>
    <w:p>
      <w:pPr>
        <w:pStyle w:val="BodyText"/>
        <w:spacing w:line="204" w:lineRule="auto"/>
        <w:ind w:left="480" w:right="204"/>
      </w:pPr>
      <w:r>
        <w:rPr/>
        <w:t>participating diverse suppliers are less than the amount committed to in the contract, the University reserves the right to cancel the contract, suspend and/or debar the contractor/supplier from participating in future contracts. The University may retain payments to the contractor/supplier in an amount equal to the value of the Supplier Diversity participation commitment less actual payments made to diverse suppliers.</w:t>
      </w:r>
    </w:p>
    <w:p>
      <w:pPr>
        <w:spacing w:after="0" w:line="204" w:lineRule="auto"/>
        <w:sectPr>
          <w:pgSz w:w="12240" w:h="15840"/>
          <w:pgMar w:header="0" w:footer="894" w:top="680" w:bottom="1120" w:left="600" w:right="500"/>
        </w:sectPr>
      </w:pPr>
    </w:p>
    <w:p>
      <w:pPr>
        <w:pStyle w:val="BodyText"/>
        <w:spacing w:line="204" w:lineRule="auto" w:before="28"/>
        <w:ind w:left="480" w:right="262"/>
      </w:pPr>
      <w:r>
        <w:rPr/>
        <w:t>If a participating diverse supplier does not retain their certification and/or is unable to satisfactorily perform, the contractor/supplier must obtain other certified diverse suppliers, if available, to fulfill the Supplier Diversity participation requirements committed to in the awarded proposal. The contractor/supplier must obtain the written approval or the Chief Procurement Officer for any new diverse supplier. Additionally, if the Respondent cannot find another diverse supplier replacement, documentation must be submitted to the Chief Procurement Officer detailing all good faith efforts made to find a replacement. The Chief Procurement Officer shall have sole discretion in determining if the actions taken by the contractor/supplier constitute a good faith effort to secure diverse supplier participation and whether the contract will be amended to change the Supplier Diversity participation commitment.</w:t>
      </w:r>
    </w:p>
    <w:p>
      <w:pPr>
        <w:pStyle w:val="BodyText"/>
      </w:pPr>
    </w:p>
    <w:p>
      <w:pPr>
        <w:pStyle w:val="ListParagraph"/>
        <w:numPr>
          <w:ilvl w:val="0"/>
          <w:numId w:val="2"/>
        </w:numPr>
        <w:tabs>
          <w:tab w:pos="841" w:val="left" w:leader="none"/>
        </w:tabs>
        <w:spacing w:line="204" w:lineRule="auto" w:before="179" w:after="0"/>
        <w:ind w:left="840" w:right="213" w:hanging="360"/>
        <w:jc w:val="both"/>
        <w:rPr>
          <w:sz w:val="24"/>
        </w:rPr>
      </w:pPr>
      <w:r>
        <w:rPr>
          <w:sz w:val="24"/>
        </w:rPr>
        <w:t>Applicable </w:t>
      </w:r>
      <w:r>
        <w:rPr>
          <w:spacing w:val="-3"/>
          <w:sz w:val="24"/>
        </w:rPr>
        <w:t>Laws </w:t>
      </w:r>
      <w:r>
        <w:rPr>
          <w:sz w:val="24"/>
        </w:rPr>
        <w:t>and </w:t>
      </w:r>
      <w:r>
        <w:rPr>
          <w:spacing w:val="-2"/>
          <w:sz w:val="24"/>
        </w:rPr>
        <w:t>Regulations: </w:t>
      </w:r>
      <w:r>
        <w:rPr>
          <w:sz w:val="24"/>
        </w:rPr>
        <w:t>The University serves from time to time as a contractor for the United States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w:t>
      </w:r>
      <w:r>
        <w:rPr>
          <w:spacing w:val="-15"/>
          <w:sz w:val="24"/>
        </w:rPr>
        <w:t> </w:t>
      </w:r>
      <w:r>
        <w:rPr>
          <w:sz w:val="24"/>
        </w:rPr>
        <w:t>and</w:t>
      </w:r>
      <w:r>
        <w:rPr>
          <w:spacing w:val="-14"/>
          <w:sz w:val="24"/>
        </w:rPr>
        <w:t> </w:t>
      </w:r>
      <w:r>
        <w:rPr>
          <w:sz w:val="24"/>
        </w:rPr>
        <w:t>certain</w:t>
      </w:r>
      <w:r>
        <w:rPr>
          <w:spacing w:val="-14"/>
          <w:sz w:val="24"/>
        </w:rPr>
        <w:t> </w:t>
      </w:r>
      <w:r>
        <w:rPr>
          <w:sz w:val="24"/>
        </w:rPr>
        <w:t>veterans</w:t>
      </w:r>
      <w:r>
        <w:rPr>
          <w:spacing w:val="-13"/>
          <w:sz w:val="24"/>
        </w:rPr>
        <w:t> </w:t>
      </w:r>
      <w:r>
        <w:rPr>
          <w:sz w:val="24"/>
        </w:rPr>
        <w:t>(38</w:t>
      </w:r>
      <w:r>
        <w:rPr>
          <w:spacing w:val="-13"/>
          <w:sz w:val="24"/>
        </w:rPr>
        <w:t> </w:t>
      </w:r>
      <w:r>
        <w:rPr>
          <w:sz w:val="24"/>
        </w:rPr>
        <w:t>USC</w:t>
      </w:r>
      <w:r>
        <w:rPr>
          <w:spacing w:val="-10"/>
          <w:sz w:val="24"/>
        </w:rPr>
        <w:t> </w:t>
      </w:r>
      <w:r>
        <w:rPr>
          <w:sz w:val="24"/>
        </w:rPr>
        <w:t>4212</w:t>
      </w:r>
      <w:r>
        <w:rPr>
          <w:spacing w:val="-12"/>
          <w:sz w:val="24"/>
        </w:rPr>
        <w:t> </w:t>
      </w:r>
      <w:r>
        <w:rPr>
          <w:sz w:val="24"/>
        </w:rPr>
        <w:t>formerly</w:t>
      </w:r>
      <w:r>
        <w:rPr>
          <w:spacing w:val="-14"/>
          <w:sz w:val="24"/>
        </w:rPr>
        <w:t> </w:t>
      </w:r>
      <w:r>
        <w:rPr>
          <w:sz w:val="24"/>
        </w:rPr>
        <w:t>[2012])</w:t>
      </w:r>
      <w:r>
        <w:rPr>
          <w:spacing w:val="-12"/>
          <w:sz w:val="24"/>
        </w:rPr>
        <w:t> </w:t>
      </w:r>
      <w:r>
        <w:rPr>
          <w:sz w:val="24"/>
        </w:rPr>
        <w:t>contracting</w:t>
      </w:r>
      <w:r>
        <w:rPr>
          <w:spacing w:val="-16"/>
          <w:sz w:val="24"/>
        </w:rPr>
        <w:t> </w:t>
      </w:r>
      <w:r>
        <w:rPr>
          <w:sz w:val="24"/>
        </w:rPr>
        <w:t>with</w:t>
      </w:r>
      <w:r>
        <w:rPr>
          <w:spacing w:val="-13"/>
          <w:sz w:val="24"/>
        </w:rPr>
        <w:t> </w:t>
      </w:r>
      <w:r>
        <w:rPr>
          <w:sz w:val="24"/>
        </w:rPr>
        <w:t>business</w:t>
      </w:r>
      <w:r>
        <w:rPr>
          <w:spacing w:val="-12"/>
          <w:sz w:val="24"/>
        </w:rPr>
        <w:t> </w:t>
      </w:r>
      <w:r>
        <w:rPr>
          <w:sz w:val="24"/>
        </w:rPr>
        <w:t>concerns</w:t>
      </w:r>
      <w:r>
        <w:rPr>
          <w:spacing w:val="-13"/>
          <w:sz w:val="24"/>
        </w:rPr>
        <w:t> </w:t>
      </w:r>
      <w:r>
        <w:rPr>
          <w:sz w:val="24"/>
        </w:rPr>
        <w:t>with</w:t>
      </w:r>
      <w:r>
        <w:rPr>
          <w:spacing w:val="-16"/>
          <w:sz w:val="24"/>
        </w:rPr>
        <w:t> </w:t>
      </w:r>
      <w:r>
        <w:rPr>
          <w:sz w:val="24"/>
        </w:rPr>
        <w:t>small disadvantaged business concerns (Publication L. 95-507). Contract clauses required by the Government in such circumstances are incorporated herein by</w:t>
      </w:r>
      <w:r>
        <w:rPr>
          <w:spacing w:val="-4"/>
          <w:sz w:val="24"/>
        </w:rPr>
        <w:t> </w:t>
      </w:r>
      <w:r>
        <w:rPr>
          <w:sz w:val="24"/>
        </w:rPr>
        <w:t>reference.</w:t>
      </w:r>
    </w:p>
    <w:p>
      <w:pPr>
        <w:pStyle w:val="BodyText"/>
        <w:rPr>
          <w:sz w:val="28"/>
        </w:rPr>
      </w:pPr>
    </w:p>
    <w:p>
      <w:pPr>
        <w:pStyle w:val="ListParagraph"/>
        <w:numPr>
          <w:ilvl w:val="0"/>
          <w:numId w:val="2"/>
        </w:numPr>
        <w:tabs>
          <w:tab w:pos="841" w:val="left" w:leader="none"/>
        </w:tabs>
        <w:spacing w:line="204" w:lineRule="auto" w:before="0" w:after="0"/>
        <w:ind w:left="840" w:right="215" w:hanging="360"/>
        <w:jc w:val="both"/>
        <w:rPr>
          <w:sz w:val="24"/>
        </w:rPr>
      </w:pPr>
      <w:r>
        <w:rPr>
          <w:spacing w:val="-3"/>
          <w:sz w:val="24"/>
        </w:rPr>
        <w:t>Appropriation: </w:t>
      </w:r>
      <w:r>
        <w:rPr>
          <w:sz w:val="24"/>
        </w:rPr>
        <w:t>The Curators of the University of Missouri is a public corporation and, as such, cannot create</w:t>
      </w:r>
      <w:r>
        <w:rPr>
          <w:spacing w:val="-5"/>
          <w:sz w:val="24"/>
        </w:rPr>
        <w:t> </w:t>
      </w:r>
      <w:r>
        <w:rPr>
          <w:sz w:val="24"/>
        </w:rPr>
        <w:t>indebtedness</w:t>
      </w:r>
      <w:r>
        <w:rPr>
          <w:spacing w:val="-2"/>
          <w:sz w:val="24"/>
        </w:rPr>
        <w:t> </w:t>
      </w:r>
      <w:r>
        <w:rPr>
          <w:sz w:val="24"/>
        </w:rPr>
        <w:t>in</w:t>
      </w:r>
      <w:r>
        <w:rPr>
          <w:spacing w:val="-3"/>
          <w:sz w:val="24"/>
        </w:rPr>
        <w:t> </w:t>
      </w:r>
      <w:r>
        <w:rPr>
          <w:sz w:val="24"/>
        </w:rPr>
        <w:t>any</w:t>
      </w:r>
      <w:r>
        <w:rPr>
          <w:spacing w:val="-3"/>
          <w:sz w:val="24"/>
        </w:rPr>
        <w:t> </w:t>
      </w:r>
      <w:r>
        <w:rPr>
          <w:sz w:val="24"/>
        </w:rPr>
        <w:t>one</w:t>
      </w:r>
      <w:r>
        <w:rPr>
          <w:spacing w:val="-4"/>
          <w:sz w:val="24"/>
        </w:rPr>
        <w:t> </w:t>
      </w:r>
      <w:r>
        <w:rPr>
          <w:sz w:val="24"/>
        </w:rPr>
        <w:t>year</w:t>
      </w:r>
      <w:r>
        <w:rPr>
          <w:spacing w:val="-4"/>
          <w:sz w:val="24"/>
        </w:rPr>
        <w:t> </w:t>
      </w:r>
      <w:r>
        <w:rPr>
          <w:sz w:val="24"/>
        </w:rPr>
        <w:t>(the</w:t>
      </w:r>
      <w:r>
        <w:rPr>
          <w:spacing w:val="-3"/>
          <w:sz w:val="24"/>
        </w:rPr>
        <w:t> </w:t>
      </w:r>
      <w:r>
        <w:rPr>
          <w:sz w:val="24"/>
        </w:rPr>
        <w:t>fiscal</w:t>
      </w:r>
      <w:r>
        <w:rPr>
          <w:spacing w:val="-3"/>
          <w:sz w:val="24"/>
        </w:rPr>
        <w:t> </w:t>
      </w:r>
      <w:r>
        <w:rPr>
          <w:sz w:val="24"/>
        </w:rPr>
        <w:t>year</w:t>
      </w:r>
      <w:r>
        <w:rPr>
          <w:spacing w:val="-4"/>
          <w:sz w:val="24"/>
        </w:rPr>
        <w:t> </w:t>
      </w:r>
      <w:r>
        <w:rPr>
          <w:sz w:val="24"/>
        </w:rPr>
        <w:t>beginning</w:t>
      </w:r>
      <w:r>
        <w:rPr>
          <w:spacing w:val="-3"/>
          <w:sz w:val="24"/>
        </w:rPr>
        <w:t> </w:t>
      </w:r>
      <w:r>
        <w:rPr>
          <w:sz w:val="24"/>
        </w:rPr>
        <w:t>July</w:t>
      </w:r>
      <w:r>
        <w:rPr>
          <w:spacing w:val="-3"/>
          <w:sz w:val="24"/>
        </w:rPr>
        <w:t> </w:t>
      </w:r>
      <w:r>
        <w:rPr>
          <w:sz w:val="24"/>
        </w:rPr>
        <w:t>1</w:t>
      </w:r>
      <w:r>
        <w:rPr>
          <w:spacing w:val="-2"/>
          <w:sz w:val="24"/>
        </w:rPr>
        <w:t> </w:t>
      </w:r>
      <w:r>
        <w:rPr>
          <w:sz w:val="24"/>
        </w:rPr>
        <w:t>to</w:t>
      </w:r>
      <w:r>
        <w:rPr>
          <w:spacing w:val="-3"/>
          <w:sz w:val="24"/>
        </w:rPr>
        <w:t> </w:t>
      </w:r>
      <w:r>
        <w:rPr>
          <w:sz w:val="24"/>
        </w:rPr>
        <w:t>June</w:t>
      </w:r>
      <w:r>
        <w:rPr>
          <w:spacing w:val="-4"/>
          <w:sz w:val="24"/>
        </w:rPr>
        <w:t> </w:t>
      </w:r>
      <w:r>
        <w:rPr>
          <w:sz w:val="24"/>
        </w:rPr>
        <w:t>30)</w:t>
      </w:r>
      <w:r>
        <w:rPr>
          <w:spacing w:val="-3"/>
          <w:sz w:val="24"/>
        </w:rPr>
        <w:t> </w:t>
      </w:r>
      <w:r>
        <w:rPr>
          <w:sz w:val="24"/>
        </w:rPr>
        <w:t>above</w:t>
      </w:r>
      <w:r>
        <w:rPr>
          <w:spacing w:val="-4"/>
          <w:sz w:val="24"/>
        </w:rPr>
        <w:t> </w:t>
      </w:r>
      <w:r>
        <w:rPr>
          <w:sz w:val="24"/>
        </w:rPr>
        <w:t>what</w:t>
      </w:r>
      <w:r>
        <w:rPr>
          <w:spacing w:val="-3"/>
          <w:sz w:val="24"/>
        </w:rPr>
        <w:t> </w:t>
      </w:r>
      <w:r>
        <w:rPr>
          <w:sz w:val="24"/>
        </w:rPr>
        <w:t>they</w:t>
      </w:r>
      <w:r>
        <w:rPr>
          <w:spacing w:val="-6"/>
          <w:sz w:val="24"/>
        </w:rPr>
        <w:t> </w:t>
      </w:r>
      <w:r>
        <w:rPr>
          <w:sz w:val="24"/>
        </w:rPr>
        <w:t>can</w:t>
      </w:r>
      <w:r>
        <w:rPr>
          <w:spacing w:val="-3"/>
          <w:sz w:val="24"/>
        </w:rPr>
        <w:t> </w:t>
      </w:r>
      <w:r>
        <w:rPr>
          <w:sz w:val="24"/>
        </w:rPr>
        <w:t>pay out of the annual income of said year as set forth in 172.250, RSMo. Therefore, if the University determines</w:t>
      </w:r>
      <w:r>
        <w:rPr>
          <w:spacing w:val="-13"/>
          <w:sz w:val="24"/>
        </w:rPr>
        <w:t> </w:t>
      </w:r>
      <w:r>
        <w:rPr>
          <w:sz w:val="24"/>
        </w:rPr>
        <w:t>it</w:t>
      </w:r>
      <w:r>
        <w:rPr>
          <w:spacing w:val="-13"/>
          <w:sz w:val="24"/>
        </w:rPr>
        <w:t> </w:t>
      </w:r>
      <w:r>
        <w:rPr>
          <w:sz w:val="24"/>
        </w:rPr>
        <w:t>has</w:t>
      </w:r>
      <w:r>
        <w:rPr>
          <w:spacing w:val="-12"/>
          <w:sz w:val="24"/>
        </w:rPr>
        <w:t> </w:t>
      </w:r>
      <w:r>
        <w:rPr>
          <w:sz w:val="24"/>
        </w:rPr>
        <w:t>not</w:t>
      </w:r>
      <w:r>
        <w:rPr>
          <w:spacing w:val="-15"/>
          <w:sz w:val="24"/>
        </w:rPr>
        <w:t> </w:t>
      </w:r>
      <w:r>
        <w:rPr>
          <w:sz w:val="24"/>
        </w:rPr>
        <w:t>received</w:t>
      </w:r>
      <w:r>
        <w:rPr>
          <w:spacing w:val="-13"/>
          <w:sz w:val="24"/>
        </w:rPr>
        <w:t> </w:t>
      </w:r>
      <w:r>
        <w:rPr>
          <w:sz w:val="24"/>
        </w:rPr>
        <w:t>adequate</w:t>
      </w:r>
      <w:r>
        <w:rPr>
          <w:spacing w:val="-13"/>
          <w:sz w:val="24"/>
        </w:rPr>
        <w:t> </w:t>
      </w:r>
      <w:r>
        <w:rPr>
          <w:sz w:val="24"/>
        </w:rPr>
        <w:t>appropriations,</w:t>
      </w:r>
      <w:r>
        <w:rPr>
          <w:spacing w:val="-14"/>
          <w:sz w:val="24"/>
        </w:rPr>
        <w:t> </w:t>
      </w:r>
      <w:r>
        <w:rPr>
          <w:sz w:val="24"/>
        </w:rPr>
        <w:t>budget</w:t>
      </w:r>
      <w:r>
        <w:rPr>
          <w:spacing w:val="-12"/>
          <w:sz w:val="24"/>
        </w:rPr>
        <w:t> </w:t>
      </w:r>
      <w:r>
        <w:rPr>
          <w:sz w:val="24"/>
        </w:rPr>
        <w:t>allocations</w:t>
      </w:r>
      <w:r>
        <w:rPr>
          <w:spacing w:val="-16"/>
          <w:sz w:val="24"/>
        </w:rPr>
        <w:t> </w:t>
      </w:r>
      <w:r>
        <w:rPr>
          <w:sz w:val="24"/>
        </w:rPr>
        <w:t>or</w:t>
      </w:r>
      <w:r>
        <w:rPr>
          <w:spacing w:val="-14"/>
          <w:sz w:val="24"/>
        </w:rPr>
        <w:t> </w:t>
      </w:r>
      <w:r>
        <w:rPr>
          <w:sz w:val="24"/>
        </w:rPr>
        <w:t>income</w:t>
      </w:r>
      <w:r>
        <w:rPr>
          <w:spacing w:val="-15"/>
          <w:sz w:val="24"/>
        </w:rPr>
        <w:t> </w:t>
      </w:r>
      <w:r>
        <w:rPr>
          <w:sz w:val="24"/>
        </w:rPr>
        <w:t>to</w:t>
      </w:r>
      <w:r>
        <w:rPr>
          <w:spacing w:val="-12"/>
          <w:sz w:val="24"/>
        </w:rPr>
        <w:t> </w:t>
      </w:r>
      <w:r>
        <w:rPr>
          <w:sz w:val="24"/>
        </w:rPr>
        <w:t>enable</w:t>
      </w:r>
      <w:r>
        <w:rPr>
          <w:spacing w:val="-15"/>
          <w:sz w:val="24"/>
        </w:rPr>
        <w:t> </w:t>
      </w:r>
      <w:r>
        <w:rPr>
          <w:sz w:val="24"/>
        </w:rPr>
        <w:t>it</w:t>
      </w:r>
      <w:r>
        <w:rPr>
          <w:spacing w:val="-12"/>
          <w:sz w:val="24"/>
        </w:rPr>
        <w:t> </w:t>
      </w:r>
      <w:r>
        <w:rPr>
          <w:sz w:val="24"/>
        </w:rPr>
        <w:t>to</w:t>
      </w:r>
      <w:r>
        <w:rPr>
          <w:spacing w:val="-15"/>
          <w:sz w:val="24"/>
        </w:rPr>
        <w:t> </w:t>
      </w:r>
      <w:r>
        <w:rPr>
          <w:sz w:val="24"/>
        </w:rPr>
        <w:t>meet the terms of this contract, the University reserves the right to cancel this contract with 30 days</w:t>
      </w:r>
      <w:r>
        <w:rPr>
          <w:spacing w:val="-24"/>
          <w:sz w:val="24"/>
        </w:rPr>
        <w:t> </w:t>
      </w:r>
      <w:r>
        <w:rPr>
          <w:sz w:val="24"/>
        </w:rPr>
        <w:t>notice.</w:t>
      </w:r>
    </w:p>
    <w:p>
      <w:pPr>
        <w:pStyle w:val="BodyText"/>
        <w:spacing w:before="5"/>
        <w:rPr>
          <w:sz w:val="28"/>
        </w:rPr>
      </w:pPr>
    </w:p>
    <w:p>
      <w:pPr>
        <w:pStyle w:val="ListParagraph"/>
        <w:numPr>
          <w:ilvl w:val="0"/>
          <w:numId w:val="2"/>
        </w:numPr>
        <w:tabs>
          <w:tab w:pos="841" w:val="left" w:leader="none"/>
        </w:tabs>
        <w:spacing w:line="204" w:lineRule="auto" w:before="0" w:after="0"/>
        <w:ind w:left="840" w:right="211" w:hanging="360"/>
        <w:jc w:val="both"/>
        <w:rPr>
          <w:sz w:val="24"/>
        </w:rPr>
      </w:pPr>
      <w:r>
        <w:rPr>
          <w:sz w:val="24"/>
        </w:rPr>
        <w:t>Applicable Health Related Laws and </w:t>
      </w:r>
      <w:r>
        <w:rPr>
          <w:spacing w:val="-2"/>
          <w:sz w:val="24"/>
        </w:rPr>
        <w:t>Regulations: </w:t>
      </w:r>
      <w:r>
        <w:rPr>
          <w:sz w:val="24"/>
        </w:rPr>
        <w:t>If these specifications or any resulting contract involves health care services or products, the Contractor agrees to maintain, and will further assure such compliance</w:t>
      </w:r>
      <w:r>
        <w:rPr>
          <w:spacing w:val="-17"/>
          <w:sz w:val="24"/>
        </w:rPr>
        <w:t> </w:t>
      </w:r>
      <w:r>
        <w:rPr>
          <w:sz w:val="24"/>
        </w:rPr>
        <w:t>by</w:t>
      </w:r>
      <w:r>
        <w:rPr>
          <w:spacing w:val="-15"/>
          <w:sz w:val="24"/>
        </w:rPr>
        <w:t> </w:t>
      </w:r>
      <w:r>
        <w:rPr>
          <w:sz w:val="24"/>
        </w:rPr>
        <w:t>its</w:t>
      </w:r>
      <w:r>
        <w:rPr>
          <w:spacing w:val="-14"/>
          <w:sz w:val="24"/>
        </w:rPr>
        <w:t> </w:t>
      </w:r>
      <w:r>
        <w:rPr>
          <w:sz w:val="24"/>
        </w:rPr>
        <w:t>employees</w:t>
      </w:r>
      <w:r>
        <w:rPr>
          <w:spacing w:val="-14"/>
          <w:sz w:val="24"/>
        </w:rPr>
        <w:t> </w:t>
      </w:r>
      <w:r>
        <w:rPr>
          <w:sz w:val="24"/>
        </w:rPr>
        <w:t>or</w:t>
      </w:r>
      <w:r>
        <w:rPr>
          <w:spacing w:val="-17"/>
          <w:sz w:val="24"/>
        </w:rPr>
        <w:t> </w:t>
      </w:r>
      <w:r>
        <w:rPr>
          <w:sz w:val="24"/>
        </w:rPr>
        <w:t>subcontractors,</w:t>
      </w:r>
      <w:r>
        <w:rPr>
          <w:spacing w:val="-16"/>
          <w:sz w:val="24"/>
        </w:rPr>
        <w:t> </w:t>
      </w:r>
      <w:r>
        <w:rPr>
          <w:sz w:val="24"/>
        </w:rPr>
        <w:t>the</w:t>
      </w:r>
      <w:r>
        <w:rPr>
          <w:spacing w:val="-16"/>
          <w:sz w:val="24"/>
        </w:rPr>
        <w:t> </w:t>
      </w:r>
      <w:r>
        <w:rPr>
          <w:sz w:val="24"/>
        </w:rPr>
        <w:t>confidential</w:t>
      </w:r>
      <w:r>
        <w:rPr>
          <w:spacing w:val="-15"/>
          <w:sz w:val="24"/>
        </w:rPr>
        <w:t> </w:t>
      </w:r>
      <w:r>
        <w:rPr>
          <w:sz w:val="24"/>
        </w:rPr>
        <w:t>nature</w:t>
      </w:r>
      <w:r>
        <w:rPr>
          <w:spacing w:val="-14"/>
          <w:sz w:val="24"/>
        </w:rPr>
        <w:t> </w:t>
      </w:r>
      <w:r>
        <w:rPr>
          <w:sz w:val="24"/>
        </w:rPr>
        <w:t>of</w:t>
      </w:r>
      <w:r>
        <w:rPr>
          <w:spacing w:val="-16"/>
          <w:sz w:val="24"/>
        </w:rPr>
        <w:t> </w:t>
      </w:r>
      <w:r>
        <w:rPr>
          <w:sz w:val="24"/>
        </w:rPr>
        <w:t>all</w:t>
      </w:r>
      <w:r>
        <w:rPr>
          <w:spacing w:val="-15"/>
          <w:sz w:val="24"/>
        </w:rPr>
        <w:t> </w:t>
      </w:r>
      <w:r>
        <w:rPr>
          <w:sz w:val="24"/>
        </w:rPr>
        <w:t>information</w:t>
      </w:r>
      <w:r>
        <w:rPr>
          <w:spacing w:val="-15"/>
          <w:sz w:val="24"/>
        </w:rPr>
        <w:t> </w:t>
      </w:r>
      <w:r>
        <w:rPr>
          <w:sz w:val="24"/>
        </w:rPr>
        <w:t>which</w:t>
      </w:r>
      <w:r>
        <w:rPr>
          <w:spacing w:val="-15"/>
          <w:sz w:val="24"/>
        </w:rPr>
        <w:t> </w:t>
      </w:r>
      <w:r>
        <w:rPr>
          <w:sz w:val="24"/>
        </w:rPr>
        <w:t>may</w:t>
      </w:r>
      <w:r>
        <w:rPr>
          <w:spacing w:val="-16"/>
          <w:sz w:val="24"/>
        </w:rPr>
        <w:t> </w:t>
      </w:r>
      <w:r>
        <w:rPr>
          <w:sz w:val="24"/>
        </w:rPr>
        <w:t>come to</w:t>
      </w:r>
      <w:r>
        <w:rPr>
          <w:spacing w:val="-12"/>
          <w:sz w:val="24"/>
        </w:rPr>
        <w:t> </w:t>
      </w:r>
      <w:r>
        <w:rPr>
          <w:sz w:val="24"/>
        </w:rPr>
        <w:t>Contractor</w:t>
      </w:r>
      <w:r>
        <w:rPr>
          <w:spacing w:val="-12"/>
          <w:sz w:val="24"/>
        </w:rPr>
        <w:t> </w:t>
      </w:r>
      <w:r>
        <w:rPr>
          <w:sz w:val="24"/>
        </w:rPr>
        <w:t>with</w:t>
      </w:r>
      <w:r>
        <w:rPr>
          <w:spacing w:val="-11"/>
          <w:sz w:val="24"/>
        </w:rPr>
        <w:t> </w:t>
      </w:r>
      <w:r>
        <w:rPr>
          <w:sz w:val="24"/>
        </w:rPr>
        <w:t>regard</w:t>
      </w:r>
      <w:r>
        <w:rPr>
          <w:spacing w:val="-12"/>
          <w:sz w:val="24"/>
        </w:rPr>
        <w:t> </w:t>
      </w:r>
      <w:r>
        <w:rPr>
          <w:sz w:val="24"/>
        </w:rPr>
        <w:t>to</w:t>
      </w:r>
      <w:r>
        <w:rPr>
          <w:spacing w:val="-11"/>
          <w:sz w:val="24"/>
        </w:rPr>
        <w:t> </w:t>
      </w:r>
      <w:r>
        <w:rPr>
          <w:sz w:val="24"/>
        </w:rPr>
        <w:t>patients</w:t>
      </w:r>
      <w:r>
        <w:rPr>
          <w:spacing w:val="-10"/>
          <w:sz w:val="24"/>
        </w:rPr>
        <w:t> </w:t>
      </w:r>
      <w:r>
        <w:rPr>
          <w:sz w:val="24"/>
        </w:rPr>
        <w:t>of</w:t>
      </w:r>
      <w:r>
        <w:rPr>
          <w:spacing w:val="-14"/>
          <w:sz w:val="24"/>
        </w:rPr>
        <w:t> </w:t>
      </w:r>
      <w:r>
        <w:rPr>
          <w:sz w:val="24"/>
        </w:rPr>
        <w:t>the</w:t>
      </w:r>
      <w:r>
        <w:rPr>
          <w:spacing w:val="-12"/>
          <w:sz w:val="24"/>
        </w:rPr>
        <w:t> </w:t>
      </w:r>
      <w:r>
        <w:rPr>
          <w:sz w:val="24"/>
        </w:rPr>
        <w:t>University.</w:t>
      </w:r>
      <w:r>
        <w:rPr>
          <w:spacing w:val="-13"/>
          <w:sz w:val="24"/>
        </w:rPr>
        <w:t> </w:t>
      </w:r>
      <w:r>
        <w:rPr>
          <w:sz w:val="24"/>
        </w:rPr>
        <w:t>All</w:t>
      </w:r>
      <w:r>
        <w:rPr>
          <w:spacing w:val="-11"/>
          <w:sz w:val="24"/>
        </w:rPr>
        <w:t> </w:t>
      </w:r>
      <w:r>
        <w:rPr>
          <w:sz w:val="24"/>
        </w:rPr>
        <w:t>services</w:t>
      </w:r>
      <w:r>
        <w:rPr>
          <w:spacing w:val="-10"/>
          <w:sz w:val="24"/>
        </w:rPr>
        <w:t> </w:t>
      </w:r>
      <w:r>
        <w:rPr>
          <w:sz w:val="24"/>
        </w:rPr>
        <w:t>provided</w:t>
      </w:r>
      <w:r>
        <w:rPr>
          <w:spacing w:val="-11"/>
          <w:sz w:val="24"/>
        </w:rPr>
        <w:t> </w:t>
      </w:r>
      <w:r>
        <w:rPr>
          <w:sz w:val="24"/>
        </w:rPr>
        <w:t>pursuant</w:t>
      </w:r>
      <w:r>
        <w:rPr>
          <w:spacing w:val="-12"/>
          <w:sz w:val="24"/>
        </w:rPr>
        <w:t> </w:t>
      </w:r>
      <w:r>
        <w:rPr>
          <w:sz w:val="24"/>
        </w:rPr>
        <w:t>to</w:t>
      </w:r>
      <w:r>
        <w:rPr>
          <w:spacing w:val="-11"/>
          <w:sz w:val="24"/>
        </w:rPr>
        <w:t> </w:t>
      </w:r>
      <w:r>
        <w:rPr>
          <w:sz w:val="24"/>
        </w:rPr>
        <w:t>this</w:t>
      </w:r>
      <w:r>
        <w:rPr>
          <w:spacing w:val="-13"/>
          <w:sz w:val="24"/>
        </w:rPr>
        <w:t> </w:t>
      </w:r>
      <w:r>
        <w:rPr>
          <w:sz w:val="24"/>
        </w:rPr>
        <w:t>contract</w:t>
      </w:r>
      <w:r>
        <w:rPr>
          <w:spacing w:val="-16"/>
          <w:sz w:val="24"/>
        </w:rPr>
        <w:t> </w:t>
      </w:r>
      <w:r>
        <w:rPr>
          <w:sz w:val="24"/>
        </w:rPr>
        <w:t>shall be provided in accordance with all applicable federal and state laws including The Health Insurance Portability and Accountability Act of 1996, Public Law 104-191, sections 261-264 (the Administrative Simplification sections) and the regulations promulgated pursuant thereto and regulations of the Joint Commission on Accreditation of Healthcare Organization and the Health Care Financing</w:t>
      </w:r>
      <w:r>
        <w:rPr>
          <w:spacing w:val="-21"/>
          <w:sz w:val="24"/>
        </w:rPr>
        <w:t> </w:t>
      </w:r>
      <w:r>
        <w:rPr>
          <w:sz w:val="24"/>
        </w:rPr>
        <w:t>Administration.</w:t>
      </w:r>
    </w:p>
    <w:p>
      <w:pPr>
        <w:pStyle w:val="BodyText"/>
        <w:spacing w:before="9"/>
        <w:rPr>
          <w:sz w:val="19"/>
        </w:rPr>
      </w:pPr>
    </w:p>
    <w:p>
      <w:pPr>
        <w:pStyle w:val="BodyText"/>
        <w:spacing w:line="204" w:lineRule="auto"/>
        <w:ind w:left="840" w:right="211"/>
        <w:jc w:val="both"/>
      </w:pPr>
      <w:r>
        <w:rPr/>
        <w:t>Respondents understand and agree that the Curators of the University of Missouri, in the operation of the University Hospitals and Clinics, is regulated under federal or state laws with regard to contracting with vendors. The Contractor represents that it is not currently excluded or threatened with exclusion from participating in any federal or state funded health care program, including Medicare and Medicaid. Contractor agrees to notify the University of any imposed exclusions or sanctions covered by this representation.</w:t>
      </w:r>
    </w:p>
    <w:p>
      <w:pPr>
        <w:pStyle w:val="BodyText"/>
        <w:rPr>
          <w:sz w:val="20"/>
        </w:rPr>
      </w:pPr>
    </w:p>
    <w:p>
      <w:pPr>
        <w:pStyle w:val="BodyText"/>
        <w:spacing w:line="204" w:lineRule="auto"/>
        <w:ind w:left="840" w:right="339"/>
      </w:pPr>
      <w:r>
        <w:rPr/>
        <w:t>The University will regularly check the "List of Excluded Individuals/Entities" (LEIE), maintained by the Office of Inspector General, United States Department of Health and Human Services (“OIG”) to determine if any Bidders/Respondents have been excluded from participation in federal health care programs, as that term is defined in 42 U.S.C. §1320a-7b(f). The University reserves the sole right to</w:t>
      </w:r>
    </w:p>
    <w:p>
      <w:pPr>
        <w:spacing w:after="0" w:line="204" w:lineRule="auto"/>
        <w:sectPr>
          <w:pgSz w:w="12240" w:h="15840"/>
          <w:pgMar w:header="0" w:footer="894" w:top="680" w:bottom="1120" w:left="600" w:right="500"/>
        </w:sectPr>
      </w:pPr>
    </w:p>
    <w:p>
      <w:pPr>
        <w:pStyle w:val="BodyText"/>
        <w:spacing w:line="204" w:lineRule="auto" w:before="28"/>
        <w:ind w:left="840" w:right="339"/>
      </w:pPr>
      <w:r>
        <w:rPr/>
        <w:t>reject any Respondents who are excluded by the OIG, who have been debarred by the federal government, or who have otherwise committed any act that could furnish a basis for such exclusion or debarment.</w:t>
      </w:r>
    </w:p>
    <w:p>
      <w:pPr>
        <w:pStyle w:val="BodyText"/>
        <w:spacing w:before="6"/>
        <w:rPr>
          <w:sz w:val="28"/>
        </w:rPr>
      </w:pPr>
    </w:p>
    <w:p>
      <w:pPr>
        <w:pStyle w:val="ListParagraph"/>
        <w:numPr>
          <w:ilvl w:val="0"/>
          <w:numId w:val="2"/>
        </w:numPr>
        <w:tabs>
          <w:tab w:pos="841" w:val="left" w:leader="none"/>
        </w:tabs>
        <w:spacing w:line="204" w:lineRule="auto" w:before="0" w:after="0"/>
        <w:ind w:left="840" w:right="215" w:hanging="360"/>
        <w:jc w:val="both"/>
        <w:rPr>
          <w:sz w:val="24"/>
        </w:rPr>
      </w:pPr>
      <w:r>
        <w:rPr>
          <w:sz w:val="24"/>
        </w:rPr>
        <w:t>Inventions, Patents, and Copyrights: The Contractor shall pay for all royalties, license fees, patent or invention rights, or copyrights and defend all suits or claims for infringements of any patent or invention right or copyrights involved in the items furnished hereunder. The Contractor shall defend, protect, and hold</w:t>
      </w:r>
      <w:r>
        <w:rPr>
          <w:spacing w:val="-14"/>
          <w:sz w:val="24"/>
        </w:rPr>
        <w:t> </w:t>
      </w:r>
      <w:r>
        <w:rPr>
          <w:sz w:val="24"/>
        </w:rPr>
        <w:t>harmless</w:t>
      </w:r>
      <w:r>
        <w:rPr>
          <w:spacing w:val="-12"/>
          <w:sz w:val="24"/>
        </w:rPr>
        <w:t> </w:t>
      </w:r>
      <w:r>
        <w:rPr>
          <w:sz w:val="24"/>
        </w:rPr>
        <w:t>the</w:t>
      </w:r>
      <w:r>
        <w:rPr>
          <w:spacing w:val="-16"/>
          <w:sz w:val="24"/>
        </w:rPr>
        <w:t> </w:t>
      </w:r>
      <w:r>
        <w:rPr>
          <w:sz w:val="24"/>
        </w:rPr>
        <w:t>University</w:t>
      </w:r>
      <w:r>
        <w:rPr>
          <w:spacing w:val="-13"/>
          <w:sz w:val="24"/>
        </w:rPr>
        <w:t> </w:t>
      </w:r>
      <w:r>
        <w:rPr>
          <w:sz w:val="24"/>
        </w:rPr>
        <w:t>its</w:t>
      </w:r>
      <w:r>
        <w:rPr>
          <w:spacing w:val="-15"/>
          <w:sz w:val="24"/>
        </w:rPr>
        <w:t> </w:t>
      </w:r>
      <w:r>
        <w:rPr>
          <w:sz w:val="24"/>
        </w:rPr>
        <w:t>officers,</w:t>
      </w:r>
      <w:r>
        <w:rPr>
          <w:spacing w:val="-14"/>
          <w:sz w:val="24"/>
        </w:rPr>
        <w:t> </w:t>
      </w:r>
      <w:r>
        <w:rPr>
          <w:sz w:val="24"/>
        </w:rPr>
        <w:t>agents,</w:t>
      </w:r>
      <w:r>
        <w:rPr>
          <w:spacing w:val="-15"/>
          <w:sz w:val="24"/>
        </w:rPr>
        <w:t> </w:t>
      </w:r>
      <w:r>
        <w:rPr>
          <w:sz w:val="24"/>
        </w:rPr>
        <w:t>servants</w:t>
      </w:r>
      <w:r>
        <w:rPr>
          <w:spacing w:val="-13"/>
          <w:sz w:val="24"/>
        </w:rPr>
        <w:t> </w:t>
      </w:r>
      <w:r>
        <w:rPr>
          <w:sz w:val="24"/>
        </w:rPr>
        <w:t>and</w:t>
      </w:r>
      <w:r>
        <w:rPr>
          <w:spacing w:val="-14"/>
          <w:sz w:val="24"/>
        </w:rPr>
        <w:t> </w:t>
      </w:r>
      <w:r>
        <w:rPr>
          <w:sz w:val="24"/>
        </w:rPr>
        <w:t>employees</w:t>
      </w:r>
      <w:r>
        <w:rPr>
          <w:spacing w:val="-13"/>
          <w:sz w:val="24"/>
        </w:rPr>
        <w:t> </w:t>
      </w:r>
      <w:r>
        <w:rPr>
          <w:sz w:val="24"/>
        </w:rPr>
        <w:t>against</w:t>
      </w:r>
      <w:r>
        <w:rPr>
          <w:spacing w:val="-13"/>
          <w:sz w:val="24"/>
        </w:rPr>
        <w:t> </w:t>
      </w:r>
      <w:r>
        <w:rPr>
          <w:sz w:val="24"/>
        </w:rPr>
        <w:t>all</w:t>
      </w:r>
      <w:r>
        <w:rPr>
          <w:spacing w:val="-17"/>
          <w:sz w:val="24"/>
        </w:rPr>
        <w:t> </w:t>
      </w:r>
      <w:r>
        <w:rPr>
          <w:sz w:val="24"/>
        </w:rPr>
        <w:t>suits</w:t>
      </w:r>
      <w:r>
        <w:rPr>
          <w:spacing w:val="-14"/>
          <w:sz w:val="24"/>
        </w:rPr>
        <w:t> </w:t>
      </w:r>
      <w:r>
        <w:rPr>
          <w:sz w:val="24"/>
        </w:rPr>
        <w:t>of</w:t>
      </w:r>
      <w:r>
        <w:rPr>
          <w:spacing w:val="-16"/>
          <w:sz w:val="24"/>
        </w:rPr>
        <w:t> </w:t>
      </w:r>
      <w:r>
        <w:rPr>
          <w:sz w:val="24"/>
        </w:rPr>
        <w:t>law</w:t>
      </w:r>
      <w:r>
        <w:rPr>
          <w:spacing w:val="-14"/>
          <w:sz w:val="24"/>
        </w:rPr>
        <w:t> </w:t>
      </w:r>
      <w:r>
        <w:rPr>
          <w:sz w:val="24"/>
        </w:rPr>
        <w:t>or</w:t>
      </w:r>
      <w:r>
        <w:rPr>
          <w:spacing w:val="-15"/>
          <w:sz w:val="24"/>
        </w:rPr>
        <w:t> </w:t>
      </w:r>
      <w:r>
        <w:rPr>
          <w:sz w:val="24"/>
        </w:rPr>
        <w:t>in</w:t>
      </w:r>
      <w:r>
        <w:rPr>
          <w:spacing w:val="-16"/>
          <w:sz w:val="24"/>
        </w:rPr>
        <w:t> </w:t>
      </w:r>
      <w:r>
        <w:rPr>
          <w:sz w:val="24"/>
        </w:rPr>
        <w:t>equity resulting</w:t>
      </w:r>
      <w:r>
        <w:rPr>
          <w:spacing w:val="-13"/>
          <w:sz w:val="24"/>
        </w:rPr>
        <w:t> </w:t>
      </w:r>
      <w:r>
        <w:rPr>
          <w:sz w:val="24"/>
        </w:rPr>
        <w:t>from</w:t>
      </w:r>
      <w:r>
        <w:rPr>
          <w:spacing w:val="-13"/>
          <w:sz w:val="24"/>
        </w:rPr>
        <w:t> </w:t>
      </w:r>
      <w:r>
        <w:rPr>
          <w:sz w:val="24"/>
        </w:rPr>
        <w:t>patent</w:t>
      </w:r>
      <w:r>
        <w:rPr>
          <w:spacing w:val="-13"/>
          <w:sz w:val="24"/>
        </w:rPr>
        <w:t> </w:t>
      </w:r>
      <w:r>
        <w:rPr>
          <w:sz w:val="24"/>
        </w:rPr>
        <w:t>and</w:t>
      </w:r>
      <w:r>
        <w:rPr>
          <w:spacing w:val="-15"/>
          <w:sz w:val="24"/>
        </w:rPr>
        <w:t> </w:t>
      </w:r>
      <w:r>
        <w:rPr>
          <w:sz w:val="24"/>
        </w:rPr>
        <w:t>or</w:t>
      </w:r>
      <w:r>
        <w:rPr>
          <w:spacing w:val="-14"/>
          <w:sz w:val="24"/>
        </w:rPr>
        <w:t> </w:t>
      </w:r>
      <w:r>
        <w:rPr>
          <w:sz w:val="24"/>
        </w:rPr>
        <w:t>copyright</w:t>
      </w:r>
      <w:r>
        <w:rPr>
          <w:spacing w:val="-13"/>
          <w:sz w:val="24"/>
        </w:rPr>
        <w:t> </w:t>
      </w:r>
      <w:r>
        <w:rPr>
          <w:sz w:val="24"/>
        </w:rPr>
        <w:t>infringement</w:t>
      </w:r>
      <w:r>
        <w:rPr>
          <w:spacing w:val="-12"/>
          <w:sz w:val="24"/>
        </w:rPr>
        <w:t> </w:t>
      </w:r>
      <w:r>
        <w:rPr>
          <w:sz w:val="24"/>
        </w:rPr>
        <w:t>concerning</w:t>
      </w:r>
      <w:r>
        <w:rPr>
          <w:spacing w:val="-13"/>
          <w:sz w:val="24"/>
        </w:rPr>
        <w:t> </w:t>
      </w:r>
      <w:r>
        <w:rPr>
          <w:sz w:val="24"/>
        </w:rPr>
        <w:t>the</w:t>
      </w:r>
      <w:r>
        <w:rPr>
          <w:spacing w:val="-13"/>
          <w:sz w:val="24"/>
        </w:rPr>
        <w:t> </w:t>
      </w:r>
      <w:r>
        <w:rPr>
          <w:sz w:val="24"/>
        </w:rPr>
        <w:t>contractor's</w:t>
      </w:r>
      <w:r>
        <w:rPr>
          <w:spacing w:val="-11"/>
          <w:sz w:val="24"/>
        </w:rPr>
        <w:t> </w:t>
      </w:r>
      <w:r>
        <w:rPr>
          <w:sz w:val="24"/>
        </w:rPr>
        <w:t>performance</w:t>
      </w:r>
      <w:r>
        <w:rPr>
          <w:spacing w:val="-14"/>
          <w:sz w:val="24"/>
        </w:rPr>
        <w:t> </w:t>
      </w:r>
      <w:r>
        <w:rPr>
          <w:sz w:val="24"/>
        </w:rPr>
        <w:t>or</w:t>
      </w:r>
      <w:r>
        <w:rPr>
          <w:spacing w:val="-14"/>
          <w:sz w:val="24"/>
        </w:rPr>
        <w:t> </w:t>
      </w:r>
      <w:r>
        <w:rPr>
          <w:sz w:val="24"/>
        </w:rPr>
        <w:t>products produced under the terms of the</w:t>
      </w:r>
      <w:r>
        <w:rPr>
          <w:spacing w:val="-3"/>
          <w:sz w:val="24"/>
        </w:rPr>
        <w:t> </w:t>
      </w:r>
      <w:r>
        <w:rPr>
          <w:sz w:val="24"/>
        </w:rPr>
        <w:t>contract.</w:t>
      </w:r>
    </w:p>
    <w:p>
      <w:pPr>
        <w:pStyle w:val="BodyText"/>
        <w:spacing w:before="4"/>
        <w:rPr>
          <w:sz w:val="28"/>
        </w:rPr>
      </w:pPr>
    </w:p>
    <w:p>
      <w:pPr>
        <w:pStyle w:val="BodyText"/>
        <w:spacing w:line="204" w:lineRule="auto"/>
        <w:ind w:left="840" w:right="219"/>
        <w:jc w:val="both"/>
      </w:pPr>
      <w:r>
        <w:rPr/>
        <w:t>Copyrights for any item developed for the University shall be the property of the University and inure to its benefit and the Contractor shall execute such documents as the University may require for the perfection thereof.</w:t>
      </w:r>
    </w:p>
    <w:p>
      <w:pPr>
        <w:pStyle w:val="BodyText"/>
        <w:spacing w:before="6"/>
        <w:rPr>
          <w:sz w:val="28"/>
        </w:rPr>
      </w:pPr>
    </w:p>
    <w:p>
      <w:pPr>
        <w:pStyle w:val="ListParagraph"/>
        <w:numPr>
          <w:ilvl w:val="0"/>
          <w:numId w:val="2"/>
        </w:numPr>
        <w:tabs>
          <w:tab w:pos="841" w:val="left" w:leader="none"/>
        </w:tabs>
        <w:spacing w:line="204" w:lineRule="auto" w:before="0" w:after="0"/>
        <w:ind w:left="840" w:right="218" w:hanging="360"/>
        <w:jc w:val="both"/>
        <w:rPr>
          <w:sz w:val="24"/>
        </w:rPr>
      </w:pPr>
      <w:r>
        <w:rPr>
          <w:sz w:val="24"/>
        </w:rPr>
        <w:t>Insurance: The Contractor shall purchase and maintain such insurance as will protect the Contractor and the</w:t>
      </w:r>
      <w:r>
        <w:rPr>
          <w:spacing w:val="-9"/>
          <w:sz w:val="24"/>
        </w:rPr>
        <w:t> </w:t>
      </w:r>
      <w:r>
        <w:rPr>
          <w:sz w:val="24"/>
        </w:rPr>
        <w:t>University</w:t>
      </w:r>
      <w:r>
        <w:rPr>
          <w:spacing w:val="-8"/>
          <w:sz w:val="24"/>
        </w:rPr>
        <w:t> </w:t>
      </w:r>
      <w:r>
        <w:rPr>
          <w:sz w:val="24"/>
        </w:rPr>
        <w:t>against</w:t>
      </w:r>
      <w:r>
        <w:rPr>
          <w:spacing w:val="-11"/>
          <w:sz w:val="24"/>
        </w:rPr>
        <w:t> </w:t>
      </w:r>
      <w:r>
        <w:rPr>
          <w:sz w:val="24"/>
        </w:rPr>
        <w:t>any</w:t>
      </w:r>
      <w:r>
        <w:rPr>
          <w:spacing w:val="-9"/>
          <w:sz w:val="24"/>
        </w:rPr>
        <w:t> </w:t>
      </w:r>
      <w:r>
        <w:rPr>
          <w:sz w:val="24"/>
        </w:rPr>
        <w:t>and</w:t>
      </w:r>
      <w:r>
        <w:rPr>
          <w:spacing w:val="-9"/>
          <w:sz w:val="24"/>
        </w:rPr>
        <w:t> </w:t>
      </w:r>
      <w:r>
        <w:rPr>
          <w:sz w:val="24"/>
        </w:rPr>
        <w:t>all</w:t>
      </w:r>
      <w:r>
        <w:rPr>
          <w:spacing w:val="-12"/>
          <w:sz w:val="24"/>
        </w:rPr>
        <w:t> </w:t>
      </w:r>
      <w:r>
        <w:rPr>
          <w:sz w:val="24"/>
        </w:rPr>
        <w:t>claims</w:t>
      </w:r>
      <w:r>
        <w:rPr>
          <w:spacing w:val="-11"/>
          <w:sz w:val="24"/>
        </w:rPr>
        <w:t> </w:t>
      </w:r>
      <w:r>
        <w:rPr>
          <w:sz w:val="24"/>
        </w:rPr>
        <w:t>and</w:t>
      </w:r>
      <w:r>
        <w:rPr>
          <w:spacing w:val="-10"/>
          <w:sz w:val="24"/>
        </w:rPr>
        <w:t> </w:t>
      </w:r>
      <w:r>
        <w:rPr>
          <w:sz w:val="24"/>
        </w:rPr>
        <w:t>demands</w:t>
      </w:r>
      <w:r>
        <w:rPr>
          <w:spacing w:val="-9"/>
          <w:sz w:val="24"/>
        </w:rPr>
        <w:t> </w:t>
      </w:r>
      <w:r>
        <w:rPr>
          <w:sz w:val="24"/>
        </w:rPr>
        <w:t>arising</w:t>
      </w:r>
      <w:r>
        <w:rPr>
          <w:spacing w:val="-11"/>
          <w:sz w:val="24"/>
        </w:rPr>
        <w:t> </w:t>
      </w:r>
      <w:r>
        <w:rPr>
          <w:sz w:val="24"/>
        </w:rPr>
        <w:t>from</w:t>
      </w:r>
      <w:r>
        <w:rPr>
          <w:spacing w:val="-9"/>
          <w:sz w:val="24"/>
        </w:rPr>
        <w:t> </w:t>
      </w:r>
      <w:r>
        <w:rPr>
          <w:sz w:val="24"/>
        </w:rPr>
        <w:t>the</w:t>
      </w:r>
      <w:r>
        <w:rPr>
          <w:spacing w:val="-9"/>
          <w:sz w:val="24"/>
        </w:rPr>
        <w:t> </w:t>
      </w:r>
      <w:r>
        <w:rPr>
          <w:sz w:val="24"/>
        </w:rPr>
        <w:t>execution</w:t>
      </w:r>
      <w:r>
        <w:rPr>
          <w:spacing w:val="-9"/>
          <w:sz w:val="24"/>
        </w:rPr>
        <w:t> </w:t>
      </w:r>
      <w:r>
        <w:rPr>
          <w:sz w:val="24"/>
        </w:rPr>
        <w:t>of</w:t>
      </w:r>
      <w:r>
        <w:rPr>
          <w:spacing w:val="-9"/>
          <w:sz w:val="24"/>
        </w:rPr>
        <w:t> </w:t>
      </w:r>
      <w:r>
        <w:rPr>
          <w:sz w:val="24"/>
        </w:rPr>
        <w:t>the</w:t>
      </w:r>
      <w:r>
        <w:rPr>
          <w:spacing w:val="-9"/>
          <w:sz w:val="24"/>
        </w:rPr>
        <w:t> </w:t>
      </w:r>
      <w:r>
        <w:rPr>
          <w:sz w:val="24"/>
        </w:rPr>
        <w:t>contract.</w:t>
      </w:r>
      <w:r>
        <w:rPr>
          <w:spacing w:val="34"/>
          <w:sz w:val="24"/>
        </w:rPr>
        <w:t> </w:t>
      </w:r>
      <w:r>
        <w:rPr>
          <w:sz w:val="24"/>
        </w:rPr>
        <w:t>Further, when stated in the Detailed Specifications and Special Conditions, the Contractor shall be required to procure and maintain the types and limits of insurance as</w:t>
      </w:r>
      <w:r>
        <w:rPr>
          <w:spacing w:val="-4"/>
          <w:sz w:val="24"/>
        </w:rPr>
        <w:t> </w:t>
      </w:r>
      <w:r>
        <w:rPr>
          <w:sz w:val="24"/>
        </w:rPr>
        <w:t>specified.</w:t>
      </w:r>
    </w:p>
    <w:p>
      <w:pPr>
        <w:pStyle w:val="BodyText"/>
        <w:spacing w:before="5"/>
        <w:rPr>
          <w:sz w:val="28"/>
        </w:rPr>
      </w:pPr>
    </w:p>
    <w:p>
      <w:pPr>
        <w:pStyle w:val="ListParagraph"/>
        <w:numPr>
          <w:ilvl w:val="0"/>
          <w:numId w:val="2"/>
        </w:numPr>
        <w:tabs>
          <w:tab w:pos="841" w:val="left" w:leader="none"/>
        </w:tabs>
        <w:spacing w:line="204" w:lineRule="auto" w:before="0" w:after="0"/>
        <w:ind w:left="840" w:right="215" w:hanging="360"/>
        <w:jc w:val="both"/>
        <w:rPr>
          <w:sz w:val="24"/>
        </w:rPr>
      </w:pPr>
      <w:r>
        <w:rPr>
          <w:spacing w:val="-3"/>
          <w:sz w:val="24"/>
        </w:rPr>
        <w:t>Performance Bond/Irrevocable </w:t>
      </w:r>
      <w:r>
        <w:rPr>
          <w:sz w:val="24"/>
        </w:rPr>
        <w:t>Letter of Credit:        If a performance bond or irrevocable letter of credit is required in the Detailed Specifications and Special Conditions, the Contractor shall furnish to the University, along with their signed contract, a performance bond or unconditional irrevocable letter of credit payable to the Curators of the University of Missouri in the face amount specified in the Detailed Specifications and Special Conditions as surety for faithful performance under the terms and conditions of the</w:t>
      </w:r>
      <w:r>
        <w:rPr>
          <w:spacing w:val="-1"/>
          <w:sz w:val="24"/>
        </w:rPr>
        <w:t> </w:t>
      </w:r>
      <w:r>
        <w:rPr>
          <w:sz w:val="24"/>
        </w:rPr>
        <w:t>contract.</w:t>
      </w:r>
    </w:p>
    <w:p>
      <w:pPr>
        <w:pStyle w:val="BodyText"/>
        <w:spacing w:before="5"/>
        <w:rPr>
          <w:sz w:val="25"/>
        </w:rPr>
      </w:pPr>
    </w:p>
    <w:p>
      <w:pPr>
        <w:pStyle w:val="ListParagraph"/>
        <w:numPr>
          <w:ilvl w:val="0"/>
          <w:numId w:val="1"/>
        </w:numPr>
        <w:tabs>
          <w:tab w:pos="411" w:val="left" w:leader="none"/>
        </w:tabs>
        <w:spacing w:line="240" w:lineRule="auto" w:before="0" w:after="0"/>
        <w:ind w:left="410" w:right="0" w:hanging="290"/>
        <w:jc w:val="left"/>
        <w:rPr>
          <w:sz w:val="24"/>
        </w:rPr>
      </w:pPr>
      <w:r>
        <w:rPr>
          <w:spacing w:val="-3"/>
          <w:sz w:val="24"/>
          <w:u w:val="single"/>
        </w:rPr>
        <w:t>INSTRUCTIONS </w:t>
      </w:r>
      <w:r>
        <w:rPr>
          <w:sz w:val="24"/>
          <w:u w:val="single"/>
        </w:rPr>
        <w:t>TO</w:t>
      </w:r>
      <w:r>
        <w:rPr>
          <w:spacing w:val="-2"/>
          <w:sz w:val="24"/>
          <w:u w:val="single"/>
        </w:rPr>
        <w:t> </w:t>
      </w:r>
      <w:r>
        <w:rPr>
          <w:spacing w:val="-3"/>
          <w:sz w:val="24"/>
          <w:u w:val="single"/>
        </w:rPr>
        <w:t>RESPONDENTS</w:t>
      </w:r>
    </w:p>
    <w:p>
      <w:pPr>
        <w:pStyle w:val="BodyText"/>
        <w:spacing w:before="1"/>
        <w:rPr>
          <w:sz w:val="25"/>
        </w:rPr>
      </w:pPr>
    </w:p>
    <w:p>
      <w:pPr>
        <w:pStyle w:val="ListParagraph"/>
        <w:numPr>
          <w:ilvl w:val="1"/>
          <w:numId w:val="1"/>
        </w:numPr>
        <w:tabs>
          <w:tab w:pos="572" w:val="left" w:leader="none"/>
        </w:tabs>
        <w:spacing w:line="204" w:lineRule="auto" w:before="41" w:after="0"/>
        <w:ind w:left="571" w:right="217" w:hanging="360"/>
        <w:jc w:val="both"/>
        <w:rPr>
          <w:sz w:val="24"/>
        </w:rPr>
      </w:pPr>
      <w:r>
        <w:rPr>
          <w:spacing w:val="-3"/>
          <w:sz w:val="24"/>
        </w:rPr>
        <w:t>Request </w:t>
      </w:r>
      <w:r>
        <w:rPr>
          <w:sz w:val="24"/>
        </w:rPr>
        <w:t>for </w:t>
      </w:r>
      <w:r>
        <w:rPr>
          <w:spacing w:val="-3"/>
          <w:sz w:val="24"/>
        </w:rPr>
        <w:t>Proposal </w:t>
      </w:r>
      <w:r>
        <w:rPr>
          <w:sz w:val="24"/>
        </w:rPr>
        <w:t>(RFP) </w:t>
      </w:r>
      <w:r>
        <w:rPr>
          <w:spacing w:val="-3"/>
          <w:sz w:val="24"/>
        </w:rPr>
        <w:t>Document: </w:t>
      </w:r>
      <w:r>
        <w:rPr>
          <w:sz w:val="24"/>
        </w:rPr>
        <w:t>Respondents are expected to examine the complete RFP document and all attachments including drawings, specifications, and instructions. Failure to do so is at Respondent's risk. It is the Respondent's responsibility to ask questions, request changes or clarifications, or otherwise advise the University if any language, specifications or requirements of a RFP appear to be ambiguous, contradictory, and/or arbitrary, or appear to inadvertently restrict or limit the requirements stated in the RFP to a single</w:t>
      </w:r>
      <w:r>
        <w:rPr>
          <w:spacing w:val="-3"/>
          <w:sz w:val="24"/>
        </w:rPr>
        <w:t> </w:t>
      </w:r>
      <w:r>
        <w:rPr>
          <w:sz w:val="24"/>
        </w:rPr>
        <w:t>source.</w:t>
      </w:r>
    </w:p>
    <w:p>
      <w:pPr>
        <w:pStyle w:val="BodyText"/>
        <w:spacing w:line="204" w:lineRule="auto"/>
        <w:ind w:left="840" w:right="216"/>
        <w:jc w:val="both"/>
      </w:pPr>
      <w:r>
        <w:rPr/>
        <w:t>Any and all communications from Respondents regarding specifications, requirements, competitive proposal</w:t>
      </w:r>
      <w:r>
        <w:rPr>
          <w:spacing w:val="-14"/>
        </w:rPr>
        <w:t> </w:t>
      </w:r>
      <w:r>
        <w:rPr/>
        <w:t>process,</w:t>
      </w:r>
      <w:r>
        <w:rPr>
          <w:spacing w:val="-15"/>
        </w:rPr>
        <w:t> </w:t>
      </w:r>
      <w:r>
        <w:rPr/>
        <w:t>etc.,</w:t>
      </w:r>
      <w:r>
        <w:rPr>
          <w:spacing w:val="-15"/>
        </w:rPr>
        <w:t> </w:t>
      </w:r>
      <w:r>
        <w:rPr/>
        <w:t>should</w:t>
      </w:r>
      <w:r>
        <w:rPr>
          <w:spacing w:val="-13"/>
        </w:rPr>
        <w:t> </w:t>
      </w:r>
      <w:r>
        <w:rPr/>
        <w:t>be</w:t>
      </w:r>
      <w:r>
        <w:rPr>
          <w:spacing w:val="-14"/>
        </w:rPr>
        <w:t> </w:t>
      </w:r>
      <w:r>
        <w:rPr/>
        <w:t>directed</w:t>
      </w:r>
      <w:r>
        <w:rPr>
          <w:spacing w:val="-14"/>
        </w:rPr>
        <w:t> </w:t>
      </w:r>
      <w:r>
        <w:rPr/>
        <w:t>to</w:t>
      </w:r>
      <w:r>
        <w:rPr>
          <w:spacing w:val="-13"/>
        </w:rPr>
        <w:t> </w:t>
      </w:r>
      <w:r>
        <w:rPr/>
        <w:t>the</w:t>
      </w:r>
      <w:r>
        <w:rPr>
          <w:spacing w:val="-13"/>
        </w:rPr>
        <w:t> </w:t>
      </w:r>
      <w:r>
        <w:rPr/>
        <w:t>University</w:t>
      </w:r>
      <w:r>
        <w:rPr>
          <w:spacing w:val="-13"/>
        </w:rPr>
        <w:t> </w:t>
      </w:r>
      <w:r>
        <w:rPr/>
        <w:t>buyer</w:t>
      </w:r>
      <w:r>
        <w:rPr>
          <w:spacing w:val="-15"/>
        </w:rPr>
        <w:t> </w:t>
      </w:r>
      <w:r>
        <w:rPr/>
        <w:t>of</w:t>
      </w:r>
      <w:r>
        <w:rPr>
          <w:spacing w:val="-14"/>
        </w:rPr>
        <w:t> </w:t>
      </w:r>
      <w:r>
        <w:rPr/>
        <w:t>record</w:t>
      </w:r>
      <w:r>
        <w:rPr>
          <w:spacing w:val="-11"/>
        </w:rPr>
        <w:t> </w:t>
      </w:r>
      <w:r>
        <w:rPr/>
        <w:t>referenced</w:t>
      </w:r>
      <w:r>
        <w:rPr>
          <w:spacing w:val="-12"/>
        </w:rPr>
        <w:t> </w:t>
      </w:r>
      <w:r>
        <w:rPr/>
        <w:t>in</w:t>
      </w:r>
      <w:r>
        <w:rPr>
          <w:spacing w:val="-14"/>
        </w:rPr>
        <w:t> </w:t>
      </w:r>
      <w:r>
        <w:rPr/>
        <w:t>this</w:t>
      </w:r>
      <w:r>
        <w:rPr>
          <w:spacing w:val="-13"/>
        </w:rPr>
        <w:t> </w:t>
      </w:r>
      <w:r>
        <w:rPr/>
        <w:t>RFP.</w:t>
      </w:r>
      <w:r>
        <w:rPr>
          <w:spacing w:val="-15"/>
        </w:rPr>
        <w:t> </w:t>
      </w:r>
      <w:r>
        <w:rPr/>
        <w:t>Written communication can be mailed to UM System Supply Chain, 2910 Lemone Industrial Blvd, Columbia, MO 65201 Attention: Darla Higgins, Strategic Sourcing Specialist; or emailed to </w:t>
      </w:r>
      <w:hyperlink r:id="rId7">
        <w:r>
          <w:rPr>
            <w:color w:val="0000FF"/>
            <w:u w:val="single" w:color="0000FF"/>
          </w:rPr>
          <w:t>higginsdj@umsystem.edu</w:t>
        </w:r>
      </w:hyperlink>
      <w:r>
        <w:rPr/>
        <w:t>. It is</w:t>
      </w:r>
      <w:r>
        <w:rPr>
          <w:spacing w:val="-9"/>
        </w:rPr>
        <w:t> </w:t>
      </w:r>
      <w:r>
        <w:rPr/>
        <w:t>the</w:t>
      </w:r>
      <w:r>
        <w:rPr>
          <w:spacing w:val="-9"/>
        </w:rPr>
        <w:t> </w:t>
      </w:r>
      <w:r>
        <w:rPr/>
        <w:t>responsibility</w:t>
      </w:r>
      <w:r>
        <w:rPr>
          <w:spacing w:val="-9"/>
        </w:rPr>
        <w:t> </w:t>
      </w:r>
      <w:r>
        <w:rPr/>
        <w:t>of</w:t>
      </w:r>
      <w:r>
        <w:rPr>
          <w:spacing w:val="-10"/>
        </w:rPr>
        <w:t> </w:t>
      </w:r>
      <w:r>
        <w:rPr/>
        <w:t>the</w:t>
      </w:r>
      <w:r>
        <w:rPr>
          <w:spacing w:val="-10"/>
        </w:rPr>
        <w:t> </w:t>
      </w:r>
      <w:r>
        <w:rPr/>
        <w:t>person</w:t>
      </w:r>
      <w:r>
        <w:rPr>
          <w:spacing w:val="-8"/>
        </w:rPr>
        <w:t> </w:t>
      </w:r>
      <w:r>
        <w:rPr/>
        <w:t>or</w:t>
      </w:r>
      <w:r>
        <w:rPr>
          <w:spacing w:val="-11"/>
        </w:rPr>
        <w:t> </w:t>
      </w:r>
      <w:r>
        <w:rPr/>
        <w:t>organization</w:t>
      </w:r>
      <w:r>
        <w:rPr>
          <w:spacing w:val="-9"/>
        </w:rPr>
        <w:t> </w:t>
      </w:r>
      <w:r>
        <w:rPr/>
        <w:t>communicating</w:t>
      </w:r>
      <w:r>
        <w:rPr>
          <w:spacing w:val="-9"/>
        </w:rPr>
        <w:t> </w:t>
      </w:r>
      <w:r>
        <w:rPr/>
        <w:t>the</w:t>
      </w:r>
      <w:r>
        <w:rPr>
          <w:spacing w:val="-10"/>
        </w:rPr>
        <w:t> </w:t>
      </w:r>
      <w:r>
        <w:rPr/>
        <w:t>request</w:t>
      </w:r>
      <w:r>
        <w:rPr>
          <w:spacing w:val="-8"/>
        </w:rPr>
        <w:t> </w:t>
      </w:r>
      <w:r>
        <w:rPr/>
        <w:t>to</w:t>
      </w:r>
      <w:r>
        <w:rPr>
          <w:spacing w:val="-9"/>
        </w:rPr>
        <w:t> </w:t>
      </w:r>
      <w:r>
        <w:rPr/>
        <w:t>ensure</w:t>
      </w:r>
      <w:r>
        <w:rPr>
          <w:spacing w:val="-10"/>
        </w:rPr>
        <w:t> </w:t>
      </w:r>
      <w:r>
        <w:rPr/>
        <w:t>that</w:t>
      </w:r>
      <w:r>
        <w:rPr>
          <w:spacing w:val="-7"/>
        </w:rPr>
        <w:t> </w:t>
      </w:r>
      <w:r>
        <w:rPr/>
        <w:t>it</w:t>
      </w:r>
      <w:r>
        <w:rPr>
          <w:spacing w:val="-9"/>
        </w:rPr>
        <w:t> </w:t>
      </w:r>
      <w:r>
        <w:rPr/>
        <w:t>is</w:t>
      </w:r>
      <w:r>
        <w:rPr>
          <w:spacing w:val="-11"/>
        </w:rPr>
        <w:t> </w:t>
      </w:r>
      <w:r>
        <w:rPr/>
        <w:t>received. To guarantee a timely response, such communication should be received at least ten calendar days prior to the proposal opening</w:t>
      </w:r>
      <w:r>
        <w:rPr>
          <w:spacing w:val="-1"/>
        </w:rPr>
        <w:t> </w:t>
      </w:r>
      <w:r>
        <w:rPr/>
        <w:t>date.</w:t>
      </w:r>
    </w:p>
    <w:p>
      <w:pPr>
        <w:pStyle w:val="BodyText"/>
        <w:spacing w:before="5"/>
        <w:rPr>
          <w:sz w:val="19"/>
        </w:rPr>
      </w:pPr>
    </w:p>
    <w:p>
      <w:pPr>
        <w:pStyle w:val="BodyText"/>
        <w:spacing w:line="204" w:lineRule="auto"/>
        <w:ind w:left="840" w:right="215"/>
        <w:jc w:val="both"/>
      </w:pPr>
      <w:r>
        <w:rPr/>
        <w:t>The</w:t>
      </w:r>
      <w:r>
        <w:rPr>
          <w:spacing w:val="-10"/>
        </w:rPr>
        <w:t> </w:t>
      </w:r>
      <w:r>
        <w:rPr/>
        <w:t>terms</w:t>
      </w:r>
      <w:r>
        <w:rPr>
          <w:spacing w:val="-8"/>
        </w:rPr>
        <w:t> </w:t>
      </w:r>
      <w:r>
        <w:rPr/>
        <w:t>and</w:t>
      </w:r>
      <w:r>
        <w:rPr>
          <w:spacing w:val="-9"/>
        </w:rPr>
        <w:t> </w:t>
      </w:r>
      <w:r>
        <w:rPr/>
        <w:t>conditions,</w:t>
      </w:r>
      <w:r>
        <w:rPr>
          <w:spacing w:val="-10"/>
        </w:rPr>
        <w:t> </w:t>
      </w:r>
      <w:r>
        <w:rPr/>
        <w:t>as distributed</w:t>
      </w:r>
      <w:r>
        <w:rPr>
          <w:spacing w:val="-9"/>
        </w:rPr>
        <w:t> </w:t>
      </w:r>
      <w:r>
        <w:rPr/>
        <w:t>by</w:t>
      </w:r>
      <w:r>
        <w:rPr>
          <w:spacing w:val="-11"/>
        </w:rPr>
        <w:t> </w:t>
      </w:r>
      <w:r>
        <w:rPr/>
        <w:t>the</w:t>
      </w:r>
      <w:r>
        <w:rPr>
          <w:spacing w:val="-9"/>
        </w:rPr>
        <w:t> </w:t>
      </w:r>
      <w:r>
        <w:rPr/>
        <w:t>University</w:t>
      </w:r>
      <w:r>
        <w:rPr>
          <w:spacing w:val="-8"/>
        </w:rPr>
        <w:t> </w:t>
      </w:r>
      <w:r>
        <w:rPr/>
        <w:t>or</w:t>
      </w:r>
      <w:r>
        <w:rPr>
          <w:spacing w:val="-10"/>
        </w:rPr>
        <w:t> </w:t>
      </w:r>
      <w:r>
        <w:rPr/>
        <w:t>made</w:t>
      </w:r>
      <w:r>
        <w:rPr>
          <w:spacing w:val="-10"/>
        </w:rPr>
        <w:t> </w:t>
      </w:r>
      <w:r>
        <w:rPr/>
        <w:t>available</w:t>
      </w:r>
      <w:r>
        <w:rPr>
          <w:spacing w:val="-10"/>
        </w:rPr>
        <w:t> </w:t>
      </w:r>
      <w:r>
        <w:rPr/>
        <w:t>on</w:t>
      </w:r>
      <w:r>
        <w:rPr>
          <w:spacing w:val="-1"/>
        </w:rPr>
        <w:t> </w:t>
      </w:r>
      <w:r>
        <w:rPr/>
        <w:t>a</w:t>
      </w:r>
      <w:r>
        <w:rPr>
          <w:spacing w:val="-9"/>
        </w:rPr>
        <w:t> </w:t>
      </w:r>
      <w:r>
        <w:rPr/>
        <w:t>University</w:t>
      </w:r>
      <w:r>
        <w:rPr>
          <w:spacing w:val="-8"/>
        </w:rPr>
        <w:t> </w:t>
      </w:r>
      <w:r>
        <w:rPr/>
        <w:t>website,</w:t>
      </w:r>
      <w:r>
        <w:rPr>
          <w:spacing w:val="-3"/>
        </w:rPr>
        <w:t> </w:t>
      </w:r>
      <w:r>
        <w:rPr/>
        <w:t>shall not</w:t>
      </w:r>
      <w:r>
        <w:rPr>
          <w:spacing w:val="21"/>
        </w:rPr>
        <w:t> </w:t>
      </w:r>
      <w:r>
        <w:rPr/>
        <w:t>be</w:t>
      </w:r>
      <w:r>
        <w:rPr>
          <w:spacing w:val="20"/>
        </w:rPr>
        <w:t> </w:t>
      </w:r>
      <w:r>
        <w:rPr/>
        <w:t>modified</w:t>
      </w:r>
      <w:r>
        <w:rPr>
          <w:spacing w:val="21"/>
        </w:rPr>
        <w:t> </w:t>
      </w:r>
      <w:r>
        <w:rPr/>
        <w:t>by</w:t>
      </w:r>
      <w:r>
        <w:rPr>
          <w:spacing w:val="21"/>
        </w:rPr>
        <w:t> </w:t>
      </w:r>
      <w:r>
        <w:rPr/>
        <w:t>anyone</w:t>
      </w:r>
      <w:r>
        <w:rPr>
          <w:spacing w:val="20"/>
        </w:rPr>
        <w:t> </w:t>
      </w:r>
      <w:r>
        <w:rPr/>
        <w:t>submitting</w:t>
      </w:r>
      <w:r>
        <w:rPr>
          <w:spacing w:val="21"/>
        </w:rPr>
        <w:t> </w:t>
      </w:r>
      <w:r>
        <w:rPr/>
        <w:t>a</w:t>
      </w:r>
      <w:r>
        <w:rPr>
          <w:spacing w:val="21"/>
        </w:rPr>
        <w:t> </w:t>
      </w:r>
      <w:r>
        <w:rPr/>
        <w:t>proposal.</w:t>
      </w:r>
      <w:r>
        <w:rPr>
          <w:spacing w:val="22"/>
        </w:rPr>
        <w:t> </w:t>
      </w:r>
      <w:r>
        <w:rPr/>
        <w:t>Regardless</w:t>
      </w:r>
      <w:r>
        <w:rPr>
          <w:spacing w:val="22"/>
        </w:rPr>
        <w:t> </w:t>
      </w:r>
      <w:r>
        <w:rPr/>
        <w:t>of</w:t>
      </w:r>
      <w:r>
        <w:rPr>
          <w:spacing w:val="21"/>
        </w:rPr>
        <w:t> </w:t>
      </w:r>
      <w:r>
        <w:rPr/>
        <w:t>any</w:t>
      </w:r>
      <w:r>
        <w:rPr>
          <w:spacing w:val="20"/>
        </w:rPr>
        <w:t> </w:t>
      </w:r>
      <w:r>
        <w:rPr/>
        <w:t>modification</w:t>
      </w:r>
      <w:r>
        <w:rPr>
          <w:spacing w:val="20"/>
        </w:rPr>
        <w:t> </w:t>
      </w:r>
      <w:r>
        <w:rPr/>
        <w:t>to</w:t>
      </w:r>
      <w:r>
        <w:rPr>
          <w:spacing w:val="21"/>
        </w:rPr>
        <w:t> </w:t>
      </w:r>
      <w:r>
        <w:rPr/>
        <w:t>these</w:t>
      </w:r>
      <w:r>
        <w:rPr>
          <w:spacing w:val="20"/>
        </w:rPr>
        <w:t> </w:t>
      </w:r>
      <w:r>
        <w:rPr/>
        <w:t>terms</w:t>
      </w:r>
      <w:r>
        <w:rPr>
          <w:spacing w:val="21"/>
        </w:rPr>
        <w:t> </w:t>
      </w:r>
      <w:r>
        <w:rPr/>
        <w:t>and</w:t>
      </w:r>
    </w:p>
    <w:p>
      <w:pPr>
        <w:spacing w:after="0" w:line="204" w:lineRule="auto"/>
        <w:jc w:val="both"/>
        <w:sectPr>
          <w:pgSz w:w="12240" w:h="15840"/>
          <w:pgMar w:header="0" w:footer="894" w:top="680" w:bottom="1120" w:left="600" w:right="500"/>
        </w:sectPr>
      </w:pPr>
    </w:p>
    <w:p>
      <w:pPr>
        <w:pStyle w:val="BodyText"/>
        <w:spacing w:line="204" w:lineRule="auto" w:before="28"/>
        <w:ind w:left="840" w:right="218"/>
        <w:jc w:val="both"/>
      </w:pPr>
      <w:r>
        <w:rPr/>
        <w:t>conditions that may appear in the submitted proposal, the original University terms and conditions apply. Any exceptions to the terms and conditions shall be stated clearly and it is at the University's discretion whether the exception shall be accepted or shall invalidate the proposal.</w:t>
      </w:r>
    </w:p>
    <w:p>
      <w:pPr>
        <w:pStyle w:val="BodyText"/>
        <w:spacing w:before="1"/>
        <w:rPr>
          <w:sz w:val="20"/>
        </w:rPr>
      </w:pPr>
    </w:p>
    <w:p>
      <w:pPr>
        <w:pStyle w:val="BodyText"/>
        <w:spacing w:line="204" w:lineRule="auto" w:before="1"/>
        <w:ind w:left="840" w:right="214"/>
        <w:jc w:val="both"/>
      </w:pPr>
      <w:r>
        <w:rPr/>
        <w:t>The RFP document and any attachments constitute the complete set of specifications and proposal response forms. No verbal or written information that is obtained other than through this RFP or its addenda shall be binding on the University. No employee of the University is authorized to interpret any portion of this RFP or give information as to the requirements of the RFP in addition to that contained in or amended to this written RFP document. In case of any doubt or difference of opinion as to the true intent of the RFP, the decision of the University's Chief Procurement Officer shall be final and binding on all parties.</w:t>
      </w:r>
    </w:p>
    <w:p>
      <w:pPr>
        <w:pStyle w:val="BodyText"/>
        <w:spacing w:before="12"/>
        <w:rPr>
          <w:sz w:val="19"/>
        </w:rPr>
      </w:pPr>
    </w:p>
    <w:p>
      <w:pPr>
        <w:pStyle w:val="ListParagraph"/>
        <w:numPr>
          <w:ilvl w:val="1"/>
          <w:numId w:val="1"/>
        </w:numPr>
        <w:tabs>
          <w:tab w:pos="572" w:val="left" w:leader="none"/>
        </w:tabs>
        <w:spacing w:line="204" w:lineRule="auto" w:before="0" w:after="0"/>
        <w:ind w:left="571" w:right="212" w:hanging="360"/>
        <w:jc w:val="both"/>
        <w:rPr>
          <w:sz w:val="24"/>
        </w:rPr>
      </w:pPr>
      <w:r>
        <w:rPr>
          <w:sz w:val="24"/>
        </w:rPr>
        <w:t>Preparation</w:t>
      </w:r>
      <w:r>
        <w:rPr>
          <w:spacing w:val="-19"/>
          <w:sz w:val="24"/>
        </w:rPr>
        <w:t> </w:t>
      </w:r>
      <w:r>
        <w:rPr>
          <w:sz w:val="24"/>
        </w:rPr>
        <w:t>of</w:t>
      </w:r>
      <w:r>
        <w:rPr>
          <w:spacing w:val="-13"/>
          <w:sz w:val="24"/>
        </w:rPr>
        <w:t> </w:t>
      </w:r>
      <w:r>
        <w:rPr>
          <w:spacing w:val="-3"/>
          <w:sz w:val="24"/>
        </w:rPr>
        <w:t>Proposals:</w:t>
      </w:r>
      <w:r>
        <w:rPr>
          <w:spacing w:val="-16"/>
          <w:sz w:val="24"/>
        </w:rPr>
        <w:t> </w:t>
      </w:r>
      <w:r>
        <w:rPr>
          <w:sz w:val="24"/>
        </w:rPr>
        <w:t>All</w:t>
      </w:r>
      <w:r>
        <w:rPr>
          <w:spacing w:val="-14"/>
          <w:sz w:val="24"/>
        </w:rPr>
        <w:t> </w:t>
      </w:r>
      <w:r>
        <w:rPr>
          <w:spacing w:val="-3"/>
          <w:sz w:val="24"/>
        </w:rPr>
        <w:t>proposals</w:t>
      </w:r>
      <w:r>
        <w:rPr>
          <w:spacing w:val="-18"/>
          <w:sz w:val="24"/>
        </w:rPr>
        <w:t> </w:t>
      </w:r>
      <w:r>
        <w:rPr>
          <w:spacing w:val="-3"/>
          <w:sz w:val="24"/>
        </w:rPr>
        <w:t>must</w:t>
      </w:r>
      <w:r>
        <w:rPr>
          <w:spacing w:val="-13"/>
          <w:sz w:val="24"/>
        </w:rPr>
        <w:t> </w:t>
      </w:r>
      <w:r>
        <w:rPr>
          <w:sz w:val="24"/>
        </w:rPr>
        <w:t>be</w:t>
      </w:r>
      <w:r>
        <w:rPr>
          <w:spacing w:val="-15"/>
          <w:sz w:val="24"/>
        </w:rPr>
        <w:t> </w:t>
      </w:r>
      <w:r>
        <w:rPr>
          <w:spacing w:val="-3"/>
          <w:sz w:val="24"/>
        </w:rPr>
        <w:t>submitted,</w:t>
      </w:r>
      <w:r>
        <w:rPr>
          <w:spacing w:val="-14"/>
          <w:sz w:val="24"/>
        </w:rPr>
        <w:t> </w:t>
      </w:r>
      <w:r>
        <w:rPr>
          <w:sz w:val="24"/>
        </w:rPr>
        <w:t>in</w:t>
      </w:r>
      <w:r>
        <w:rPr>
          <w:spacing w:val="-19"/>
          <w:sz w:val="24"/>
        </w:rPr>
        <w:t> </w:t>
      </w:r>
      <w:r>
        <w:rPr>
          <w:sz w:val="24"/>
        </w:rPr>
        <w:t>two</w:t>
      </w:r>
      <w:r>
        <w:rPr>
          <w:spacing w:val="-16"/>
          <w:sz w:val="24"/>
        </w:rPr>
        <w:t> </w:t>
      </w:r>
      <w:r>
        <w:rPr>
          <w:sz w:val="24"/>
        </w:rPr>
        <w:t>originals</w:t>
      </w:r>
      <w:r>
        <w:rPr>
          <w:spacing w:val="-18"/>
          <w:sz w:val="24"/>
        </w:rPr>
        <w:t> </w:t>
      </w:r>
      <w:r>
        <w:rPr>
          <w:sz w:val="24"/>
        </w:rPr>
        <w:t>and</w:t>
      </w:r>
      <w:r>
        <w:rPr>
          <w:spacing w:val="-16"/>
          <w:sz w:val="24"/>
        </w:rPr>
        <w:t> </w:t>
      </w:r>
      <w:r>
        <w:rPr>
          <w:sz w:val="24"/>
        </w:rPr>
        <w:t>one</w:t>
      </w:r>
      <w:r>
        <w:rPr>
          <w:spacing w:val="-16"/>
          <w:sz w:val="24"/>
        </w:rPr>
        <w:t> </w:t>
      </w:r>
      <w:r>
        <w:rPr>
          <w:spacing w:val="-3"/>
          <w:sz w:val="24"/>
        </w:rPr>
        <w:t>copy</w:t>
      </w:r>
      <w:r>
        <w:rPr>
          <w:spacing w:val="-16"/>
          <w:sz w:val="24"/>
        </w:rPr>
        <w:t> </w:t>
      </w:r>
      <w:r>
        <w:rPr>
          <w:sz w:val="24"/>
        </w:rPr>
        <w:t>on</w:t>
      </w:r>
      <w:r>
        <w:rPr>
          <w:spacing w:val="-19"/>
          <w:sz w:val="24"/>
        </w:rPr>
        <w:t> </w:t>
      </w:r>
      <w:r>
        <w:rPr>
          <w:sz w:val="24"/>
        </w:rPr>
        <w:t>a</w:t>
      </w:r>
      <w:r>
        <w:rPr>
          <w:spacing w:val="-14"/>
          <w:sz w:val="24"/>
        </w:rPr>
        <w:t> </w:t>
      </w:r>
      <w:r>
        <w:rPr>
          <w:sz w:val="24"/>
        </w:rPr>
        <w:t>CD</w:t>
      </w:r>
      <w:r>
        <w:rPr>
          <w:spacing w:val="-18"/>
          <w:sz w:val="24"/>
        </w:rPr>
        <w:t> </w:t>
      </w:r>
      <w:r>
        <w:rPr>
          <w:sz w:val="24"/>
        </w:rPr>
        <w:t>or</w:t>
      </w:r>
      <w:r>
        <w:rPr>
          <w:spacing w:val="-15"/>
          <w:sz w:val="24"/>
        </w:rPr>
        <w:t> </w:t>
      </w:r>
      <w:r>
        <w:rPr>
          <w:spacing w:val="-3"/>
          <w:sz w:val="24"/>
        </w:rPr>
        <w:t>jump</w:t>
      </w:r>
      <w:r>
        <w:rPr>
          <w:spacing w:val="-15"/>
          <w:sz w:val="24"/>
        </w:rPr>
        <w:t> </w:t>
      </w:r>
      <w:r>
        <w:rPr>
          <w:sz w:val="24"/>
        </w:rPr>
        <w:t>drive, on</w:t>
      </w:r>
      <w:r>
        <w:rPr>
          <w:spacing w:val="-3"/>
          <w:sz w:val="24"/>
        </w:rPr>
        <w:t> </w:t>
      </w:r>
      <w:r>
        <w:rPr>
          <w:sz w:val="24"/>
        </w:rPr>
        <w:t>the</w:t>
      </w:r>
      <w:r>
        <w:rPr>
          <w:spacing w:val="-2"/>
          <w:sz w:val="24"/>
        </w:rPr>
        <w:t> </w:t>
      </w:r>
      <w:r>
        <w:rPr>
          <w:sz w:val="24"/>
        </w:rPr>
        <w:t>proposal</w:t>
      </w:r>
      <w:r>
        <w:rPr>
          <w:spacing w:val="-6"/>
          <w:sz w:val="24"/>
        </w:rPr>
        <w:t> </w:t>
      </w:r>
      <w:r>
        <w:rPr>
          <w:sz w:val="24"/>
        </w:rPr>
        <w:t>form</w:t>
      </w:r>
      <w:r>
        <w:rPr>
          <w:spacing w:val="-2"/>
          <w:sz w:val="24"/>
        </w:rPr>
        <w:t> </w:t>
      </w:r>
      <w:r>
        <w:rPr>
          <w:sz w:val="24"/>
        </w:rPr>
        <w:t>accompanying</w:t>
      </w:r>
      <w:r>
        <w:rPr>
          <w:spacing w:val="-2"/>
          <w:sz w:val="24"/>
        </w:rPr>
        <w:t> </w:t>
      </w:r>
      <w:r>
        <w:rPr>
          <w:sz w:val="24"/>
        </w:rPr>
        <w:t>these</w:t>
      </w:r>
      <w:r>
        <w:rPr>
          <w:spacing w:val="-5"/>
          <w:sz w:val="24"/>
        </w:rPr>
        <w:t> </w:t>
      </w:r>
      <w:r>
        <w:rPr>
          <w:sz w:val="24"/>
        </w:rPr>
        <w:t>specifications</w:t>
      </w:r>
      <w:r>
        <w:rPr>
          <w:spacing w:val="-1"/>
          <w:sz w:val="24"/>
        </w:rPr>
        <w:t> </w:t>
      </w:r>
      <w:r>
        <w:rPr>
          <w:sz w:val="24"/>
        </w:rPr>
        <w:t>along</w:t>
      </w:r>
      <w:r>
        <w:rPr>
          <w:spacing w:val="-4"/>
          <w:sz w:val="24"/>
        </w:rPr>
        <w:t> </w:t>
      </w:r>
      <w:r>
        <w:rPr>
          <w:sz w:val="24"/>
        </w:rPr>
        <w:t>with</w:t>
      </w:r>
      <w:r>
        <w:rPr>
          <w:spacing w:val="-5"/>
          <w:sz w:val="24"/>
        </w:rPr>
        <w:t> </w:t>
      </w:r>
      <w:r>
        <w:rPr>
          <w:sz w:val="24"/>
        </w:rPr>
        <w:t>1</w:t>
      </w:r>
      <w:r>
        <w:rPr>
          <w:spacing w:val="-3"/>
          <w:sz w:val="24"/>
        </w:rPr>
        <w:t> </w:t>
      </w:r>
      <w:r>
        <w:rPr>
          <w:sz w:val="24"/>
        </w:rPr>
        <w:t>electronic</w:t>
      </w:r>
      <w:r>
        <w:rPr>
          <w:spacing w:val="-3"/>
          <w:sz w:val="24"/>
        </w:rPr>
        <w:t> </w:t>
      </w:r>
      <w:r>
        <w:rPr>
          <w:sz w:val="24"/>
        </w:rPr>
        <w:t>copy</w:t>
      </w:r>
      <w:r>
        <w:rPr>
          <w:spacing w:val="-4"/>
          <w:sz w:val="24"/>
        </w:rPr>
        <w:t> </w:t>
      </w:r>
      <w:r>
        <w:rPr>
          <w:sz w:val="24"/>
        </w:rPr>
        <w:t>and</w:t>
      </w:r>
      <w:r>
        <w:rPr>
          <w:spacing w:val="-4"/>
          <w:sz w:val="24"/>
        </w:rPr>
        <w:t> </w:t>
      </w:r>
      <w:r>
        <w:rPr>
          <w:sz w:val="24"/>
        </w:rPr>
        <w:t>must</w:t>
      </w:r>
      <w:r>
        <w:rPr>
          <w:spacing w:val="-4"/>
          <w:sz w:val="24"/>
        </w:rPr>
        <w:t> </w:t>
      </w:r>
      <w:r>
        <w:rPr>
          <w:sz w:val="24"/>
        </w:rPr>
        <w:t>be</w:t>
      </w:r>
      <w:r>
        <w:rPr>
          <w:spacing w:val="-4"/>
          <w:sz w:val="24"/>
        </w:rPr>
        <w:t> </w:t>
      </w:r>
      <w:r>
        <w:rPr>
          <w:sz w:val="24"/>
        </w:rPr>
        <w:t>enclosed in</w:t>
      </w:r>
      <w:r>
        <w:rPr>
          <w:spacing w:val="-12"/>
          <w:sz w:val="24"/>
        </w:rPr>
        <w:t> </w:t>
      </w:r>
      <w:r>
        <w:rPr>
          <w:sz w:val="24"/>
        </w:rPr>
        <w:t>a</w:t>
      </w:r>
      <w:r>
        <w:rPr>
          <w:spacing w:val="-13"/>
          <w:sz w:val="24"/>
        </w:rPr>
        <w:t> </w:t>
      </w:r>
      <w:r>
        <w:rPr>
          <w:sz w:val="24"/>
        </w:rPr>
        <w:t>sealed</w:t>
      </w:r>
      <w:r>
        <w:rPr>
          <w:spacing w:val="-11"/>
          <w:sz w:val="24"/>
        </w:rPr>
        <w:t> </w:t>
      </w:r>
      <w:r>
        <w:rPr>
          <w:sz w:val="24"/>
        </w:rPr>
        <w:t>envelope</w:t>
      </w:r>
      <w:r>
        <w:rPr>
          <w:spacing w:val="-13"/>
          <w:sz w:val="24"/>
        </w:rPr>
        <w:t> </w:t>
      </w:r>
      <w:r>
        <w:rPr>
          <w:sz w:val="24"/>
        </w:rPr>
        <w:t>plainly</w:t>
      </w:r>
      <w:r>
        <w:rPr>
          <w:spacing w:val="-11"/>
          <w:sz w:val="24"/>
        </w:rPr>
        <w:t> </w:t>
      </w:r>
      <w:r>
        <w:rPr>
          <w:sz w:val="24"/>
        </w:rPr>
        <w:t>marked:</w:t>
      </w:r>
      <w:r>
        <w:rPr>
          <w:spacing w:val="-12"/>
          <w:sz w:val="24"/>
        </w:rPr>
        <w:t> </w:t>
      </w:r>
      <w:r>
        <w:rPr>
          <w:sz w:val="24"/>
        </w:rPr>
        <w:t>“Proposal</w:t>
      </w:r>
      <w:r>
        <w:rPr>
          <w:spacing w:val="-11"/>
          <w:sz w:val="24"/>
        </w:rPr>
        <w:t> </w:t>
      </w:r>
      <w:r>
        <w:rPr>
          <w:sz w:val="24"/>
        </w:rPr>
        <w:t>for</w:t>
      </w:r>
      <w:r>
        <w:rPr>
          <w:spacing w:val="-15"/>
          <w:sz w:val="24"/>
        </w:rPr>
        <w:t> </w:t>
      </w:r>
      <w:r>
        <w:rPr>
          <w:sz w:val="24"/>
        </w:rPr>
        <w:t>CUSTOM</w:t>
      </w:r>
      <w:r>
        <w:rPr>
          <w:spacing w:val="-12"/>
          <w:sz w:val="24"/>
        </w:rPr>
        <w:t> </w:t>
      </w:r>
      <w:r>
        <w:rPr>
          <w:sz w:val="24"/>
        </w:rPr>
        <w:t>CASEWORK</w:t>
      </w:r>
      <w:r>
        <w:rPr>
          <w:spacing w:val="-13"/>
          <w:sz w:val="24"/>
        </w:rPr>
        <w:t> </w:t>
      </w:r>
      <w:r>
        <w:rPr>
          <w:sz w:val="24"/>
        </w:rPr>
        <w:t>RFP#</w:t>
      </w:r>
      <w:r>
        <w:rPr>
          <w:spacing w:val="-11"/>
          <w:sz w:val="24"/>
        </w:rPr>
        <w:t> </w:t>
      </w:r>
      <w:r>
        <w:rPr>
          <w:sz w:val="24"/>
        </w:rPr>
        <w:t>16</w:t>
      </w:r>
      <w:r>
        <w:rPr>
          <w:spacing w:val="-13"/>
          <w:sz w:val="24"/>
        </w:rPr>
        <w:t> </w:t>
      </w:r>
      <w:r>
        <w:rPr>
          <w:sz w:val="24"/>
        </w:rPr>
        <w:t>9007</w:t>
      </w:r>
      <w:r>
        <w:rPr>
          <w:spacing w:val="-13"/>
          <w:sz w:val="24"/>
        </w:rPr>
        <w:t> </w:t>
      </w:r>
      <w:r>
        <w:rPr>
          <w:sz w:val="24"/>
        </w:rPr>
        <w:t>DH</w:t>
      </w:r>
      <w:r>
        <w:rPr>
          <w:spacing w:val="-13"/>
          <w:sz w:val="24"/>
        </w:rPr>
        <w:t> </w:t>
      </w:r>
      <w:r>
        <w:rPr>
          <w:sz w:val="24"/>
        </w:rPr>
        <w:t>C</w:t>
      </w:r>
      <w:r>
        <w:rPr>
          <w:spacing w:val="-12"/>
          <w:sz w:val="24"/>
        </w:rPr>
        <w:t> </w:t>
      </w:r>
      <w:r>
        <w:rPr>
          <w:sz w:val="24"/>
        </w:rPr>
        <w:t>",</w:t>
      </w:r>
      <w:r>
        <w:rPr>
          <w:spacing w:val="-12"/>
          <w:sz w:val="24"/>
        </w:rPr>
        <w:t> </w:t>
      </w:r>
      <w:r>
        <w:rPr>
          <w:sz w:val="24"/>
        </w:rPr>
        <w:t>and</w:t>
      </w:r>
      <w:r>
        <w:rPr>
          <w:spacing w:val="-14"/>
          <w:sz w:val="24"/>
        </w:rPr>
        <w:t> </w:t>
      </w:r>
      <w:r>
        <w:rPr>
          <w:sz w:val="24"/>
        </w:rPr>
        <w:t>addressed, mailed and/or delivered to MU System Supply Chain, University of Missouri-Columbia, 2910 Lemone Industrial Blvd, Columbia, MO 65201 ATTN: Darla</w:t>
      </w:r>
      <w:r>
        <w:rPr>
          <w:spacing w:val="-3"/>
          <w:sz w:val="24"/>
        </w:rPr>
        <w:t> </w:t>
      </w:r>
      <w:r>
        <w:rPr>
          <w:sz w:val="24"/>
        </w:rPr>
        <w:t>Higgins.</w:t>
      </w:r>
    </w:p>
    <w:p>
      <w:pPr>
        <w:pStyle w:val="BodyText"/>
        <w:spacing w:before="13"/>
        <w:rPr>
          <w:sz w:val="19"/>
        </w:rPr>
      </w:pPr>
    </w:p>
    <w:p>
      <w:pPr>
        <w:pStyle w:val="BodyText"/>
        <w:spacing w:line="204" w:lineRule="auto" w:before="1"/>
        <w:ind w:left="840" w:right="220"/>
        <w:jc w:val="both"/>
      </w:pPr>
      <w:r>
        <w:rPr/>
        <w:t>To</w:t>
      </w:r>
      <w:r>
        <w:rPr>
          <w:spacing w:val="-10"/>
        </w:rPr>
        <w:t> </w:t>
      </w:r>
      <w:r>
        <w:rPr/>
        <w:t>receive</w:t>
      </w:r>
      <w:r>
        <w:rPr>
          <w:spacing w:val="-11"/>
        </w:rPr>
        <w:t> </w:t>
      </w:r>
      <w:r>
        <w:rPr/>
        <w:t>consideration,</w:t>
      </w:r>
      <w:r>
        <w:rPr>
          <w:spacing w:val="-11"/>
        </w:rPr>
        <w:t> </w:t>
      </w:r>
      <w:r>
        <w:rPr/>
        <w:t>proposals</w:t>
      </w:r>
      <w:r>
        <w:rPr>
          <w:spacing w:val="-10"/>
        </w:rPr>
        <w:t> </w:t>
      </w:r>
      <w:r>
        <w:rPr/>
        <w:t>must</w:t>
      </w:r>
      <w:r>
        <w:rPr>
          <w:spacing w:val="-11"/>
        </w:rPr>
        <w:t> </w:t>
      </w:r>
      <w:r>
        <w:rPr/>
        <w:t>be</w:t>
      </w:r>
      <w:r>
        <w:rPr>
          <w:spacing w:val="-11"/>
        </w:rPr>
        <w:t> </w:t>
      </w:r>
      <w:r>
        <w:rPr/>
        <w:t>received,</w:t>
      </w:r>
      <w:r>
        <w:rPr>
          <w:spacing w:val="-10"/>
        </w:rPr>
        <w:t> </w:t>
      </w:r>
      <w:r>
        <w:rPr/>
        <w:t>at</w:t>
      </w:r>
      <w:r>
        <w:rPr>
          <w:spacing w:val="-10"/>
        </w:rPr>
        <w:t> </w:t>
      </w:r>
      <w:r>
        <w:rPr/>
        <w:t>the</w:t>
      </w:r>
      <w:r>
        <w:rPr>
          <w:spacing w:val="-13"/>
        </w:rPr>
        <w:t> </w:t>
      </w:r>
      <w:r>
        <w:rPr/>
        <w:t>above</w:t>
      </w:r>
      <w:r>
        <w:rPr>
          <w:spacing w:val="-11"/>
        </w:rPr>
        <w:t> </w:t>
      </w:r>
      <w:r>
        <w:rPr/>
        <w:t>address,</w:t>
      </w:r>
      <w:r>
        <w:rPr>
          <w:spacing w:val="-13"/>
        </w:rPr>
        <w:t> </w:t>
      </w:r>
      <w:r>
        <w:rPr/>
        <w:t>prior</w:t>
      </w:r>
      <w:r>
        <w:rPr>
          <w:spacing w:val="-10"/>
        </w:rPr>
        <w:t> </w:t>
      </w:r>
      <w:r>
        <w:rPr/>
        <w:t>to</w:t>
      </w:r>
      <w:r>
        <w:rPr>
          <w:spacing w:val="-10"/>
        </w:rPr>
        <w:t> </w:t>
      </w:r>
      <w:r>
        <w:rPr/>
        <w:t>the</w:t>
      </w:r>
      <w:r>
        <w:rPr>
          <w:spacing w:val="-10"/>
        </w:rPr>
        <w:t> </w:t>
      </w:r>
      <w:r>
        <w:rPr/>
        <w:t>proposal</w:t>
      </w:r>
      <w:r>
        <w:rPr>
          <w:spacing w:val="-13"/>
        </w:rPr>
        <w:t> </w:t>
      </w:r>
      <w:r>
        <w:rPr/>
        <w:t>opening time and date stated in this RFP. Respondents assume full responsibility for the actual delivery of proposals during business hours at the specified</w:t>
      </w:r>
      <w:r>
        <w:rPr>
          <w:spacing w:val="-2"/>
        </w:rPr>
        <w:t> </w:t>
      </w:r>
      <w:r>
        <w:rPr/>
        <w:t>address.</w:t>
      </w:r>
    </w:p>
    <w:p>
      <w:pPr>
        <w:pStyle w:val="BodyText"/>
        <w:spacing w:before="3"/>
        <w:rPr>
          <w:sz w:val="20"/>
        </w:rPr>
      </w:pPr>
    </w:p>
    <w:p>
      <w:pPr>
        <w:pStyle w:val="BodyText"/>
        <w:spacing w:line="204" w:lineRule="auto"/>
        <w:ind w:left="840" w:right="217"/>
        <w:jc w:val="both"/>
      </w:pPr>
      <w:r>
        <w:rPr/>
        <w:t>Unless otherwise specifically stated in the RFP, all specifications and requirements constitute minimum requirements. All proposals must meet or exceed the stated specifications or requirements. All equipment and supplies offered must be new, of current production, and available for marketing by the manufacturer unless the RFP clearly specifies that used, reconditioned, or remanufactured equipment and supplies may be offered. Unless specifically stated and allowed in the Detailed Specifications and Special Conditions, all pricing submitted in response to this RFP is firm and fixed.</w:t>
      </w:r>
    </w:p>
    <w:p>
      <w:pPr>
        <w:pStyle w:val="BodyText"/>
        <w:spacing w:before="11"/>
        <w:rPr>
          <w:sz w:val="19"/>
        </w:rPr>
      </w:pPr>
    </w:p>
    <w:p>
      <w:pPr>
        <w:pStyle w:val="BodyText"/>
        <w:spacing w:line="204" w:lineRule="auto" w:before="1"/>
        <w:ind w:left="840" w:right="210"/>
        <w:jc w:val="both"/>
      </w:pPr>
      <w:r>
        <w:rPr/>
        <w:t>Whenever</w:t>
      </w:r>
      <w:r>
        <w:rPr>
          <w:spacing w:val="-14"/>
        </w:rPr>
        <w:t> </w:t>
      </w:r>
      <w:r>
        <w:rPr/>
        <w:t>the</w:t>
      </w:r>
      <w:r>
        <w:rPr>
          <w:spacing w:val="-13"/>
        </w:rPr>
        <w:t> </w:t>
      </w:r>
      <w:r>
        <w:rPr/>
        <w:t>name</w:t>
      </w:r>
      <w:r>
        <w:rPr>
          <w:spacing w:val="-14"/>
        </w:rPr>
        <w:t> </w:t>
      </w:r>
      <w:r>
        <w:rPr/>
        <w:t>of</w:t>
      </w:r>
      <w:r>
        <w:rPr>
          <w:spacing w:val="-13"/>
        </w:rPr>
        <w:t> </w:t>
      </w:r>
      <w:r>
        <w:rPr/>
        <w:t>a</w:t>
      </w:r>
      <w:r>
        <w:rPr>
          <w:spacing w:val="-13"/>
        </w:rPr>
        <w:t> </w:t>
      </w:r>
      <w:r>
        <w:rPr/>
        <w:t>manufacturer,</w:t>
      </w:r>
      <w:r>
        <w:rPr>
          <w:spacing w:val="-14"/>
        </w:rPr>
        <w:t> </w:t>
      </w:r>
      <w:r>
        <w:rPr/>
        <w:t>trade</w:t>
      </w:r>
      <w:r>
        <w:rPr>
          <w:spacing w:val="-14"/>
        </w:rPr>
        <w:t> </w:t>
      </w:r>
      <w:r>
        <w:rPr/>
        <w:t>name,</w:t>
      </w:r>
      <w:r>
        <w:rPr>
          <w:spacing w:val="-14"/>
        </w:rPr>
        <w:t> </w:t>
      </w:r>
      <w:r>
        <w:rPr/>
        <w:t>brand</w:t>
      </w:r>
      <w:r>
        <w:rPr>
          <w:spacing w:val="-12"/>
        </w:rPr>
        <w:t> </w:t>
      </w:r>
      <w:r>
        <w:rPr/>
        <w:t>name,</w:t>
      </w:r>
      <w:r>
        <w:rPr>
          <w:spacing w:val="-14"/>
        </w:rPr>
        <w:t> </w:t>
      </w:r>
      <w:r>
        <w:rPr/>
        <w:t>or</w:t>
      </w:r>
      <w:r>
        <w:rPr>
          <w:spacing w:val="-14"/>
        </w:rPr>
        <w:t> </w:t>
      </w:r>
      <w:r>
        <w:rPr/>
        <w:t>model</w:t>
      </w:r>
      <w:r>
        <w:rPr>
          <w:spacing w:val="-13"/>
        </w:rPr>
        <w:t> </w:t>
      </w:r>
      <w:r>
        <w:rPr/>
        <w:t>and</w:t>
      </w:r>
      <w:r>
        <w:rPr>
          <w:spacing w:val="-13"/>
        </w:rPr>
        <w:t> </w:t>
      </w:r>
      <w:r>
        <w:rPr/>
        <w:t>catalog</w:t>
      </w:r>
      <w:r>
        <w:rPr>
          <w:spacing w:val="-12"/>
        </w:rPr>
        <w:t> </w:t>
      </w:r>
      <w:r>
        <w:rPr/>
        <w:t>numbers</w:t>
      </w:r>
      <w:r>
        <w:rPr>
          <w:spacing w:val="-12"/>
        </w:rPr>
        <w:t> </w:t>
      </w:r>
      <w:r>
        <w:rPr/>
        <w:t>followed by the words "or equal" or "approved equal" are used in the specifications it is for the purpose of item identification and to establish standards of quality, style, and features. Proposals on equivalent items of the same quality are invited. However, to receive consideration, such equivalent proposals must be accompanied by sufficient descriptive literature and/or specifications to clearly identify the item and provide for competitive evaluation. The University will be the sole judge of equality and suitability. Whenever the name of a manufacturer is mentioned in the specifications and the words "or equal" do not follow, it shall be deemed that the words "or equal" follow unless the context specifies "no substitution." Unless noted on the proposal form, it will be deemed that the article furnished is that designated by the specifications. The University reserves the right to return, at contractor's expense, all items that are furnished which are not acceptable as equals to items specified and contractor agrees to replace such items with satisfactory items at the original proposal</w:t>
      </w:r>
      <w:r>
        <w:rPr>
          <w:spacing w:val="-6"/>
        </w:rPr>
        <w:t> </w:t>
      </w:r>
      <w:r>
        <w:rPr/>
        <w:t>price.</w:t>
      </w:r>
    </w:p>
    <w:p>
      <w:pPr>
        <w:pStyle w:val="BodyText"/>
        <w:spacing w:before="6"/>
        <w:rPr>
          <w:sz w:val="19"/>
        </w:rPr>
      </w:pPr>
    </w:p>
    <w:p>
      <w:pPr>
        <w:pStyle w:val="BodyText"/>
        <w:spacing w:line="204" w:lineRule="auto" w:before="1"/>
        <w:ind w:left="840" w:right="214"/>
        <w:jc w:val="both"/>
      </w:pPr>
      <w:r>
        <w:rPr/>
        <w:t>Time will be of the essence for any orders placed as a result of this RFP. The University reserves the right to cancel any orders, or part thereof, without obligation if delivery is not made in accordance with the schedule specified by the Respondent and accepted by the University. Unless otherwise specified in the Detailed Specifications and Special Conditions, all proposals shall include all packing, handling, and shipping charges FOB destination, freight prepaid and allowed.</w:t>
      </w:r>
    </w:p>
    <w:p>
      <w:pPr>
        <w:spacing w:after="0" w:line="204" w:lineRule="auto"/>
        <w:jc w:val="both"/>
        <w:sectPr>
          <w:pgSz w:w="12240" w:h="15840"/>
          <w:pgMar w:header="0" w:footer="894" w:top="680" w:bottom="1120" w:left="600" w:right="500"/>
        </w:sectPr>
      </w:pPr>
    </w:p>
    <w:p>
      <w:pPr>
        <w:pStyle w:val="ListParagraph"/>
        <w:numPr>
          <w:ilvl w:val="1"/>
          <w:numId w:val="1"/>
        </w:numPr>
        <w:tabs>
          <w:tab w:pos="572" w:val="left" w:leader="none"/>
        </w:tabs>
        <w:spacing w:line="204" w:lineRule="auto" w:before="21" w:after="0"/>
        <w:ind w:left="571" w:right="215" w:hanging="360"/>
        <w:jc w:val="both"/>
        <w:rPr>
          <w:sz w:val="24"/>
        </w:rPr>
      </w:pPr>
      <w:r>
        <w:rPr>
          <w:sz w:val="24"/>
        </w:rPr>
        <w:t>Submission of </w:t>
      </w:r>
      <w:r>
        <w:rPr>
          <w:spacing w:val="-3"/>
          <w:sz w:val="24"/>
        </w:rPr>
        <w:t>Proposals: </w:t>
      </w:r>
      <w:r>
        <w:rPr>
          <w:sz w:val="24"/>
        </w:rPr>
        <w:t>Respondents shall furnish information required by the solicitation in the form requested. The University reserves the right to reject proposals with incomplete information or which are presented</w:t>
      </w:r>
      <w:r>
        <w:rPr>
          <w:spacing w:val="-11"/>
          <w:sz w:val="24"/>
        </w:rPr>
        <w:t> </w:t>
      </w:r>
      <w:r>
        <w:rPr>
          <w:sz w:val="24"/>
        </w:rPr>
        <w:t>on</w:t>
      </w:r>
      <w:r>
        <w:rPr>
          <w:spacing w:val="-11"/>
          <w:sz w:val="24"/>
        </w:rPr>
        <w:t> </w:t>
      </w:r>
      <w:r>
        <w:rPr>
          <w:sz w:val="24"/>
        </w:rPr>
        <w:t>a</w:t>
      </w:r>
      <w:r>
        <w:rPr>
          <w:spacing w:val="-8"/>
          <w:sz w:val="24"/>
        </w:rPr>
        <w:t> </w:t>
      </w:r>
      <w:r>
        <w:rPr>
          <w:sz w:val="24"/>
        </w:rPr>
        <w:t>different</w:t>
      </w:r>
      <w:r>
        <w:rPr>
          <w:spacing w:val="-10"/>
          <w:sz w:val="24"/>
        </w:rPr>
        <w:t> </w:t>
      </w:r>
      <w:r>
        <w:rPr>
          <w:sz w:val="24"/>
        </w:rPr>
        <w:t>form.</w:t>
      </w:r>
      <w:r>
        <w:rPr>
          <w:spacing w:val="35"/>
          <w:sz w:val="24"/>
        </w:rPr>
        <w:t> </w:t>
      </w:r>
      <w:r>
        <w:rPr>
          <w:sz w:val="24"/>
        </w:rPr>
        <w:t>All</w:t>
      </w:r>
      <w:r>
        <w:rPr>
          <w:spacing w:val="-10"/>
          <w:sz w:val="24"/>
        </w:rPr>
        <w:t> </w:t>
      </w:r>
      <w:r>
        <w:rPr>
          <w:sz w:val="24"/>
        </w:rPr>
        <w:t>proposals</w:t>
      </w:r>
      <w:r>
        <w:rPr>
          <w:spacing w:val="-10"/>
          <w:sz w:val="24"/>
        </w:rPr>
        <w:t> </w:t>
      </w:r>
      <w:r>
        <w:rPr>
          <w:sz w:val="24"/>
        </w:rPr>
        <w:t>shall</w:t>
      </w:r>
      <w:r>
        <w:rPr>
          <w:spacing w:val="-11"/>
          <w:sz w:val="24"/>
        </w:rPr>
        <w:t> </w:t>
      </w:r>
      <w:r>
        <w:rPr>
          <w:sz w:val="24"/>
        </w:rPr>
        <w:t>be</w:t>
      </w:r>
      <w:r>
        <w:rPr>
          <w:spacing w:val="-11"/>
          <w:sz w:val="24"/>
        </w:rPr>
        <w:t> </w:t>
      </w:r>
      <w:r>
        <w:rPr>
          <w:sz w:val="24"/>
        </w:rPr>
        <w:t>signed,</w:t>
      </w:r>
      <w:r>
        <w:rPr>
          <w:spacing w:val="-12"/>
          <w:sz w:val="24"/>
        </w:rPr>
        <w:t> </w:t>
      </w:r>
      <w:r>
        <w:rPr>
          <w:sz w:val="24"/>
        </w:rPr>
        <w:t>in</w:t>
      </w:r>
      <w:r>
        <w:rPr>
          <w:spacing w:val="-11"/>
          <w:sz w:val="24"/>
        </w:rPr>
        <w:t> </w:t>
      </w:r>
      <w:r>
        <w:rPr>
          <w:sz w:val="24"/>
        </w:rPr>
        <w:t>the</w:t>
      </w:r>
      <w:r>
        <w:rPr>
          <w:spacing w:val="-8"/>
          <w:sz w:val="24"/>
        </w:rPr>
        <w:t> </w:t>
      </w:r>
      <w:r>
        <w:rPr>
          <w:sz w:val="24"/>
        </w:rPr>
        <w:t>appropriate</w:t>
      </w:r>
      <w:r>
        <w:rPr>
          <w:spacing w:val="-11"/>
          <w:sz w:val="24"/>
        </w:rPr>
        <w:t> </w:t>
      </w:r>
      <w:r>
        <w:rPr>
          <w:sz w:val="24"/>
        </w:rPr>
        <w:t>location,</w:t>
      </w:r>
      <w:r>
        <w:rPr>
          <w:spacing w:val="-12"/>
          <w:sz w:val="24"/>
        </w:rPr>
        <w:t> </w:t>
      </w:r>
      <w:r>
        <w:rPr>
          <w:sz w:val="24"/>
        </w:rPr>
        <w:t>by</w:t>
      </w:r>
      <w:r>
        <w:rPr>
          <w:spacing w:val="-10"/>
          <w:sz w:val="24"/>
        </w:rPr>
        <w:t> </w:t>
      </w:r>
      <w:r>
        <w:rPr>
          <w:sz w:val="24"/>
        </w:rPr>
        <w:t>a</w:t>
      </w:r>
      <w:r>
        <w:rPr>
          <w:spacing w:val="-10"/>
          <w:sz w:val="24"/>
        </w:rPr>
        <w:t> </w:t>
      </w:r>
      <w:r>
        <w:rPr>
          <w:sz w:val="24"/>
        </w:rPr>
        <w:t>duly</w:t>
      </w:r>
      <w:r>
        <w:rPr>
          <w:spacing w:val="-10"/>
          <w:sz w:val="24"/>
        </w:rPr>
        <w:t> </w:t>
      </w:r>
      <w:r>
        <w:rPr>
          <w:sz w:val="24"/>
        </w:rPr>
        <w:t>authorized representative of the Respondent's organization. Signature on the proposal certifies that the Respondent has read and fully understands all proposal specifications, plans, and terms and</w:t>
      </w:r>
      <w:r>
        <w:rPr>
          <w:spacing w:val="-10"/>
          <w:sz w:val="24"/>
        </w:rPr>
        <w:t> </w:t>
      </w:r>
      <w:r>
        <w:rPr>
          <w:sz w:val="24"/>
        </w:rPr>
        <w:t>conditions.</w:t>
      </w:r>
    </w:p>
    <w:p>
      <w:pPr>
        <w:pStyle w:val="BodyText"/>
        <w:spacing w:before="13"/>
        <w:rPr>
          <w:sz w:val="19"/>
        </w:rPr>
      </w:pPr>
    </w:p>
    <w:p>
      <w:pPr>
        <w:pStyle w:val="BodyText"/>
        <w:spacing w:line="204" w:lineRule="auto"/>
        <w:ind w:left="840" w:right="213"/>
        <w:jc w:val="both"/>
      </w:pPr>
      <w:r>
        <w:rPr/>
        <w:t>By submitting a proposal, the Respondent agrees to provide the specified equipment, supplies and/or services in the RFP, at the prices quoted, pursuant to all requirements and specifications contained therein. Furthermore, the Respondent certifies that: (1) the proposal is genuine and is not made in the interest</w:t>
      </w:r>
      <w:r>
        <w:rPr>
          <w:spacing w:val="-10"/>
        </w:rPr>
        <w:t> </w:t>
      </w:r>
      <w:r>
        <w:rPr/>
        <w:t>of</w:t>
      </w:r>
      <w:r>
        <w:rPr>
          <w:spacing w:val="-11"/>
        </w:rPr>
        <w:t> </w:t>
      </w:r>
      <w:r>
        <w:rPr/>
        <w:t>or</w:t>
      </w:r>
      <w:r>
        <w:rPr>
          <w:spacing w:val="-13"/>
        </w:rPr>
        <w:t> </w:t>
      </w:r>
      <w:r>
        <w:rPr/>
        <w:t>on</w:t>
      </w:r>
      <w:r>
        <w:rPr>
          <w:spacing w:val="-12"/>
        </w:rPr>
        <w:t> </w:t>
      </w:r>
      <w:r>
        <w:rPr/>
        <w:t>behalf</w:t>
      </w:r>
      <w:r>
        <w:rPr>
          <w:spacing w:val="-11"/>
        </w:rPr>
        <w:t> </w:t>
      </w:r>
      <w:r>
        <w:rPr/>
        <w:t>of</w:t>
      </w:r>
      <w:r>
        <w:rPr>
          <w:spacing w:val="-13"/>
        </w:rPr>
        <w:t> </w:t>
      </w:r>
      <w:r>
        <w:rPr/>
        <w:t>any</w:t>
      </w:r>
      <w:r>
        <w:rPr>
          <w:spacing w:val="-11"/>
        </w:rPr>
        <w:t> </w:t>
      </w:r>
      <w:r>
        <w:rPr/>
        <w:t>undisclosed</w:t>
      </w:r>
      <w:r>
        <w:rPr>
          <w:spacing w:val="-11"/>
        </w:rPr>
        <w:t> </w:t>
      </w:r>
      <w:r>
        <w:rPr/>
        <w:t>person,</w:t>
      </w:r>
      <w:r>
        <w:rPr>
          <w:spacing w:val="-12"/>
        </w:rPr>
        <w:t> </w:t>
      </w:r>
      <w:r>
        <w:rPr/>
        <w:t>firm,</w:t>
      </w:r>
      <w:r>
        <w:rPr>
          <w:spacing w:val="-13"/>
        </w:rPr>
        <w:t> </w:t>
      </w:r>
      <w:r>
        <w:rPr/>
        <w:t>or</w:t>
      </w:r>
      <w:r>
        <w:rPr>
          <w:spacing w:val="-12"/>
        </w:rPr>
        <w:t> </w:t>
      </w:r>
      <w:r>
        <w:rPr/>
        <w:t>corporation,</w:t>
      </w:r>
      <w:r>
        <w:rPr>
          <w:spacing w:val="-12"/>
        </w:rPr>
        <w:t> </w:t>
      </w:r>
      <w:r>
        <w:rPr/>
        <w:t>and</w:t>
      </w:r>
      <w:r>
        <w:rPr>
          <w:spacing w:val="-11"/>
        </w:rPr>
        <w:t> </w:t>
      </w:r>
      <w:r>
        <w:rPr/>
        <w:t>is</w:t>
      </w:r>
      <w:r>
        <w:rPr>
          <w:spacing w:val="-11"/>
        </w:rPr>
        <w:t> </w:t>
      </w:r>
      <w:r>
        <w:rPr/>
        <w:t>not</w:t>
      </w:r>
      <w:r>
        <w:rPr>
          <w:spacing w:val="-12"/>
        </w:rPr>
        <w:t> </w:t>
      </w:r>
      <w:r>
        <w:rPr/>
        <w:t>submitted</w:t>
      </w:r>
      <w:r>
        <w:rPr>
          <w:spacing w:val="-10"/>
        </w:rPr>
        <w:t> </w:t>
      </w:r>
      <w:r>
        <w:rPr/>
        <w:t>in</w:t>
      </w:r>
      <w:r>
        <w:rPr>
          <w:spacing w:val="-16"/>
        </w:rPr>
        <w:t> </w:t>
      </w:r>
      <w:r>
        <w:rPr/>
        <w:t>conformity with</w:t>
      </w:r>
      <w:r>
        <w:rPr>
          <w:spacing w:val="-9"/>
        </w:rPr>
        <w:t> </w:t>
      </w:r>
      <w:r>
        <w:rPr/>
        <w:t>any</w:t>
      </w:r>
      <w:r>
        <w:rPr>
          <w:spacing w:val="-12"/>
        </w:rPr>
        <w:t> </w:t>
      </w:r>
      <w:r>
        <w:rPr/>
        <w:t>agreement</w:t>
      </w:r>
      <w:r>
        <w:rPr>
          <w:spacing w:val="-8"/>
        </w:rPr>
        <w:t> </w:t>
      </w:r>
      <w:r>
        <w:rPr/>
        <w:t>or</w:t>
      </w:r>
      <w:r>
        <w:rPr>
          <w:spacing w:val="-11"/>
        </w:rPr>
        <w:t> </w:t>
      </w:r>
      <w:r>
        <w:rPr/>
        <w:t>rules</w:t>
      </w:r>
      <w:r>
        <w:rPr>
          <w:spacing w:val="-8"/>
        </w:rPr>
        <w:t> </w:t>
      </w:r>
      <w:r>
        <w:rPr/>
        <w:t>of</w:t>
      </w:r>
      <w:r>
        <w:rPr>
          <w:spacing w:val="-10"/>
        </w:rPr>
        <w:t> </w:t>
      </w:r>
      <w:r>
        <w:rPr/>
        <w:t>any</w:t>
      </w:r>
      <w:r>
        <w:rPr>
          <w:spacing w:val="-12"/>
        </w:rPr>
        <w:t> </w:t>
      </w:r>
      <w:r>
        <w:rPr/>
        <w:t>group,</w:t>
      </w:r>
      <w:r>
        <w:rPr>
          <w:spacing w:val="-10"/>
        </w:rPr>
        <w:t> </w:t>
      </w:r>
      <w:r>
        <w:rPr/>
        <w:t>association,</w:t>
      </w:r>
      <w:r>
        <w:rPr>
          <w:spacing w:val="-10"/>
        </w:rPr>
        <w:t> </w:t>
      </w:r>
      <w:r>
        <w:rPr/>
        <w:t>or</w:t>
      </w:r>
      <w:r>
        <w:rPr>
          <w:spacing w:val="-11"/>
        </w:rPr>
        <w:t> </w:t>
      </w:r>
      <w:r>
        <w:rPr/>
        <w:t>corporation;</w:t>
      </w:r>
      <w:r>
        <w:rPr>
          <w:spacing w:val="-10"/>
        </w:rPr>
        <w:t> </w:t>
      </w:r>
      <w:r>
        <w:rPr/>
        <w:t>(2)</w:t>
      </w:r>
      <w:r>
        <w:rPr>
          <w:spacing w:val="-8"/>
        </w:rPr>
        <w:t> </w:t>
      </w:r>
      <w:r>
        <w:rPr/>
        <w:t>the</w:t>
      </w:r>
      <w:r>
        <w:rPr>
          <w:spacing w:val="-11"/>
        </w:rPr>
        <w:t> </w:t>
      </w:r>
      <w:r>
        <w:rPr/>
        <w:t>Respondent</w:t>
      </w:r>
      <w:r>
        <w:rPr>
          <w:spacing w:val="-8"/>
        </w:rPr>
        <w:t> </w:t>
      </w:r>
      <w:r>
        <w:rPr/>
        <w:t>has</w:t>
      </w:r>
      <w:r>
        <w:rPr>
          <w:spacing w:val="-8"/>
        </w:rPr>
        <w:t> </w:t>
      </w:r>
      <w:r>
        <w:rPr/>
        <w:t>not</w:t>
      </w:r>
      <w:r>
        <w:rPr>
          <w:spacing w:val="-12"/>
        </w:rPr>
        <w:t> </w:t>
      </w:r>
      <w:r>
        <w:rPr/>
        <w:t>directly or indirectly induced or solicited any other Respondent to submit a false or sham proposal; (3) the Respondent has not solicited or induced any person, firm, or corporation to refrain from responding; (4) the Respondent has not sought by collusion or otherwise to obtain any advantage over any other Respondent or over the University.</w:t>
      </w:r>
    </w:p>
    <w:p>
      <w:pPr>
        <w:pStyle w:val="BodyText"/>
        <w:spacing w:line="204" w:lineRule="auto"/>
        <w:ind w:left="840" w:right="213"/>
        <w:jc w:val="both"/>
      </w:pPr>
      <w:r>
        <w:rPr/>
        <w:t>Modifications</w:t>
      </w:r>
      <w:r>
        <w:rPr>
          <w:spacing w:val="-5"/>
        </w:rPr>
        <w:t> </w:t>
      </w:r>
      <w:r>
        <w:rPr/>
        <w:t>or</w:t>
      </w:r>
      <w:r>
        <w:rPr>
          <w:spacing w:val="-6"/>
        </w:rPr>
        <w:t> </w:t>
      </w:r>
      <w:r>
        <w:rPr/>
        <w:t>erasures</w:t>
      </w:r>
      <w:r>
        <w:rPr>
          <w:spacing w:val="-3"/>
        </w:rPr>
        <w:t> </w:t>
      </w:r>
      <w:r>
        <w:rPr/>
        <w:t>made</w:t>
      </w:r>
      <w:r>
        <w:rPr>
          <w:spacing w:val="-5"/>
        </w:rPr>
        <w:t> </w:t>
      </w:r>
      <w:r>
        <w:rPr/>
        <w:t>before</w:t>
      </w:r>
      <w:r>
        <w:rPr>
          <w:spacing w:val="-5"/>
        </w:rPr>
        <w:t> </w:t>
      </w:r>
      <w:r>
        <w:rPr/>
        <w:t>proposal</w:t>
      </w:r>
      <w:r>
        <w:rPr>
          <w:spacing w:val="-5"/>
        </w:rPr>
        <w:t> </w:t>
      </w:r>
      <w:r>
        <w:rPr/>
        <w:t>submission</w:t>
      </w:r>
      <w:r>
        <w:rPr>
          <w:spacing w:val="-4"/>
        </w:rPr>
        <w:t> </w:t>
      </w:r>
      <w:r>
        <w:rPr/>
        <w:t>must</w:t>
      </w:r>
      <w:r>
        <w:rPr>
          <w:spacing w:val="-6"/>
        </w:rPr>
        <w:t> </w:t>
      </w:r>
      <w:r>
        <w:rPr/>
        <w:t>be</w:t>
      </w:r>
      <w:r>
        <w:rPr>
          <w:spacing w:val="-5"/>
        </w:rPr>
        <w:t> </w:t>
      </w:r>
      <w:r>
        <w:rPr/>
        <w:t>initialed</w:t>
      </w:r>
      <w:r>
        <w:rPr>
          <w:spacing w:val="-4"/>
        </w:rPr>
        <w:t> </w:t>
      </w:r>
      <w:r>
        <w:rPr/>
        <w:t>in</w:t>
      </w:r>
      <w:r>
        <w:rPr>
          <w:spacing w:val="-4"/>
        </w:rPr>
        <w:t> </w:t>
      </w:r>
      <w:r>
        <w:rPr/>
        <w:t>ink</w:t>
      </w:r>
      <w:r>
        <w:rPr>
          <w:spacing w:val="-7"/>
        </w:rPr>
        <w:t> </w:t>
      </w:r>
      <w:r>
        <w:rPr/>
        <w:t>by</w:t>
      </w:r>
      <w:r>
        <w:rPr>
          <w:spacing w:val="-7"/>
        </w:rPr>
        <w:t> </w:t>
      </w:r>
      <w:r>
        <w:rPr/>
        <w:t>the</w:t>
      </w:r>
      <w:r>
        <w:rPr>
          <w:spacing w:val="-4"/>
        </w:rPr>
        <w:t> </w:t>
      </w:r>
      <w:r>
        <w:rPr/>
        <w:t>person</w:t>
      </w:r>
      <w:r>
        <w:rPr>
          <w:spacing w:val="-3"/>
        </w:rPr>
        <w:t> </w:t>
      </w:r>
      <w:r>
        <w:rPr/>
        <w:t>signing the proposal. Proposals, once submitted, may be modified in writing prior to the exact date and time set for the proposal closing. Any such modifications shall be prepared on company letterhead, signed by a duly authorized representative, and state the new document supersedes or modifies the prior proposal. The modification must be submitted in a sealed envelope marked "Proposal Modification" and clearly identifying the RFP title, RFP number and closing time and date. Proposals may not be modified after the proposal closing time and date. Telephone and facsimile modifications are not</w:t>
      </w:r>
      <w:r>
        <w:rPr>
          <w:spacing w:val="-10"/>
        </w:rPr>
        <w:t> </w:t>
      </w:r>
      <w:r>
        <w:rPr/>
        <w:t>permitted.</w:t>
      </w:r>
    </w:p>
    <w:p>
      <w:pPr>
        <w:pStyle w:val="BodyText"/>
        <w:spacing w:before="5"/>
        <w:rPr>
          <w:sz w:val="19"/>
        </w:rPr>
      </w:pPr>
    </w:p>
    <w:p>
      <w:pPr>
        <w:pStyle w:val="BodyText"/>
        <w:spacing w:line="204" w:lineRule="auto"/>
        <w:ind w:left="840" w:right="212"/>
        <w:jc w:val="both"/>
      </w:pPr>
      <w:r>
        <w:rPr/>
        <w:t>Proposals may be withdrawn in writing, on company letterhead, signed by a duly authorized representative</w:t>
      </w:r>
      <w:r>
        <w:rPr>
          <w:spacing w:val="-9"/>
        </w:rPr>
        <w:t> </w:t>
      </w:r>
      <w:r>
        <w:rPr/>
        <w:t>and</w:t>
      </w:r>
      <w:r>
        <w:rPr>
          <w:spacing w:val="-5"/>
        </w:rPr>
        <w:t> </w:t>
      </w:r>
      <w:r>
        <w:rPr/>
        <w:t>received</w:t>
      </w:r>
      <w:r>
        <w:rPr>
          <w:spacing w:val="-7"/>
        </w:rPr>
        <w:t> </w:t>
      </w:r>
      <w:r>
        <w:rPr/>
        <w:t>at</w:t>
      </w:r>
      <w:r>
        <w:rPr>
          <w:spacing w:val="-8"/>
        </w:rPr>
        <w:t> </w:t>
      </w:r>
      <w:r>
        <w:rPr/>
        <w:t>the</w:t>
      </w:r>
      <w:r>
        <w:rPr>
          <w:spacing w:val="-8"/>
        </w:rPr>
        <w:t> </w:t>
      </w:r>
      <w:r>
        <w:rPr/>
        <w:t>designated</w:t>
      </w:r>
      <w:r>
        <w:rPr>
          <w:spacing w:val="-7"/>
        </w:rPr>
        <w:t> </w:t>
      </w:r>
      <w:r>
        <w:rPr/>
        <w:t>location</w:t>
      </w:r>
      <w:r>
        <w:rPr>
          <w:spacing w:val="-8"/>
        </w:rPr>
        <w:t> </w:t>
      </w:r>
      <w:r>
        <w:rPr/>
        <w:t>prior</w:t>
      </w:r>
      <w:r>
        <w:rPr>
          <w:spacing w:val="-8"/>
        </w:rPr>
        <w:t> </w:t>
      </w:r>
      <w:r>
        <w:rPr/>
        <w:t>to</w:t>
      </w:r>
      <w:r>
        <w:rPr>
          <w:spacing w:val="-8"/>
        </w:rPr>
        <w:t> </w:t>
      </w:r>
      <w:r>
        <w:rPr/>
        <w:t>the</w:t>
      </w:r>
      <w:r>
        <w:rPr>
          <w:spacing w:val="-8"/>
        </w:rPr>
        <w:t> </w:t>
      </w:r>
      <w:r>
        <w:rPr/>
        <w:t>date</w:t>
      </w:r>
      <w:r>
        <w:rPr>
          <w:spacing w:val="-8"/>
        </w:rPr>
        <w:t> </w:t>
      </w:r>
      <w:r>
        <w:rPr/>
        <w:t>and</w:t>
      </w:r>
      <w:r>
        <w:rPr>
          <w:spacing w:val="-6"/>
        </w:rPr>
        <w:t> </w:t>
      </w:r>
      <w:r>
        <w:rPr/>
        <w:t>time</w:t>
      </w:r>
      <w:r>
        <w:rPr>
          <w:spacing w:val="-8"/>
        </w:rPr>
        <w:t> </w:t>
      </w:r>
      <w:r>
        <w:rPr/>
        <w:t>set</w:t>
      </w:r>
      <w:r>
        <w:rPr>
          <w:spacing w:val="-8"/>
        </w:rPr>
        <w:t> </w:t>
      </w:r>
      <w:r>
        <w:rPr/>
        <w:t>for</w:t>
      </w:r>
      <w:r>
        <w:rPr>
          <w:spacing w:val="-9"/>
        </w:rPr>
        <w:t> </w:t>
      </w:r>
      <w:r>
        <w:rPr/>
        <w:t>proposal</w:t>
      </w:r>
      <w:r>
        <w:rPr>
          <w:spacing w:val="-7"/>
        </w:rPr>
        <w:t> </w:t>
      </w:r>
      <w:r>
        <w:rPr/>
        <w:t>closing. Proposals may be withdrawn in person before the proposal closing upon presentation of proper identification. Proposals may not be withdrawn for a period of sixty (60) days after the scheduled closing time for the receipt of</w:t>
      </w:r>
      <w:r>
        <w:rPr>
          <w:spacing w:val="-3"/>
        </w:rPr>
        <w:t> </w:t>
      </w:r>
      <w:r>
        <w:rPr/>
        <w:t>proposals.</w:t>
      </w:r>
    </w:p>
    <w:p>
      <w:pPr>
        <w:pStyle w:val="BodyText"/>
        <w:spacing w:before="13"/>
        <w:rPr>
          <w:sz w:val="19"/>
        </w:rPr>
      </w:pPr>
    </w:p>
    <w:p>
      <w:pPr>
        <w:pStyle w:val="BodyText"/>
        <w:spacing w:line="204" w:lineRule="auto"/>
        <w:ind w:left="840" w:right="215"/>
        <w:jc w:val="both"/>
      </w:pPr>
      <w:r>
        <w:rPr/>
        <w:t>All proposals, information, and materials received by the University in connection with an RFP response shall</w:t>
      </w:r>
      <w:r>
        <w:rPr>
          <w:spacing w:val="-15"/>
        </w:rPr>
        <w:t> </w:t>
      </w:r>
      <w:r>
        <w:rPr/>
        <w:t>be</w:t>
      </w:r>
      <w:r>
        <w:rPr>
          <w:spacing w:val="-14"/>
        </w:rPr>
        <w:t> </w:t>
      </w:r>
      <w:r>
        <w:rPr/>
        <w:t>deemed</w:t>
      </w:r>
      <w:r>
        <w:rPr>
          <w:spacing w:val="-13"/>
        </w:rPr>
        <w:t> </w:t>
      </w:r>
      <w:r>
        <w:rPr/>
        <w:t>open</w:t>
      </w:r>
      <w:r>
        <w:rPr>
          <w:spacing w:val="-14"/>
        </w:rPr>
        <w:t> </w:t>
      </w:r>
      <w:r>
        <w:rPr/>
        <w:t>records</w:t>
      </w:r>
      <w:r>
        <w:rPr>
          <w:spacing w:val="-13"/>
        </w:rPr>
        <w:t> </w:t>
      </w:r>
      <w:r>
        <w:rPr/>
        <w:t>pursuant</w:t>
      </w:r>
      <w:r>
        <w:rPr>
          <w:spacing w:val="-13"/>
        </w:rPr>
        <w:t> </w:t>
      </w:r>
      <w:r>
        <w:rPr/>
        <w:t>to</w:t>
      </w:r>
      <w:r>
        <w:rPr>
          <w:spacing w:val="-17"/>
        </w:rPr>
        <w:t> </w:t>
      </w:r>
      <w:r>
        <w:rPr/>
        <w:t>610.021</w:t>
      </w:r>
      <w:r>
        <w:rPr>
          <w:spacing w:val="-18"/>
        </w:rPr>
        <w:t> </w:t>
      </w:r>
      <w:r>
        <w:rPr/>
        <w:t>RSMo.</w:t>
      </w:r>
      <w:r>
        <w:rPr>
          <w:spacing w:val="26"/>
        </w:rPr>
        <w:t> </w:t>
      </w:r>
      <w:r>
        <w:rPr/>
        <w:t>If</w:t>
      </w:r>
      <w:r>
        <w:rPr>
          <w:spacing w:val="-13"/>
        </w:rPr>
        <w:t> </w:t>
      </w:r>
      <w:r>
        <w:rPr/>
        <w:t>a</w:t>
      </w:r>
      <w:r>
        <w:rPr>
          <w:spacing w:val="-17"/>
        </w:rPr>
        <w:t> </w:t>
      </w:r>
      <w:r>
        <w:rPr/>
        <w:t>Respondent</w:t>
      </w:r>
      <w:r>
        <w:rPr>
          <w:spacing w:val="-10"/>
        </w:rPr>
        <w:t> </w:t>
      </w:r>
      <w:r>
        <w:rPr/>
        <w:t>believes</w:t>
      </w:r>
      <w:r>
        <w:rPr>
          <w:spacing w:val="-13"/>
        </w:rPr>
        <w:t> </w:t>
      </w:r>
      <w:r>
        <w:rPr/>
        <w:t>any</w:t>
      </w:r>
      <w:r>
        <w:rPr>
          <w:spacing w:val="-15"/>
        </w:rPr>
        <w:t> </w:t>
      </w:r>
      <w:r>
        <w:rPr/>
        <w:t>of</w:t>
      </w:r>
      <w:r>
        <w:rPr>
          <w:spacing w:val="-14"/>
        </w:rPr>
        <w:t> </w:t>
      </w:r>
      <w:r>
        <w:rPr/>
        <w:t>the</w:t>
      </w:r>
      <w:r>
        <w:rPr>
          <w:spacing w:val="-14"/>
        </w:rPr>
        <w:t> </w:t>
      </w:r>
      <w:r>
        <w:rPr/>
        <w:t>information contained in the Respondent's response is exempt from 610.021 RSMo, then the Respondent's response must specifically identify the material which is deemed to be exempt and cite the legal authority for the exemption,</w:t>
      </w:r>
      <w:r>
        <w:rPr>
          <w:spacing w:val="-11"/>
        </w:rPr>
        <w:t> </w:t>
      </w:r>
      <w:r>
        <w:rPr/>
        <w:t>otherwise,</w:t>
      </w:r>
      <w:r>
        <w:rPr>
          <w:spacing w:val="-11"/>
        </w:rPr>
        <w:t> </w:t>
      </w:r>
      <w:r>
        <w:rPr/>
        <w:t>the</w:t>
      </w:r>
      <w:r>
        <w:rPr>
          <w:spacing w:val="-10"/>
        </w:rPr>
        <w:t> </w:t>
      </w:r>
      <w:r>
        <w:rPr/>
        <w:t>University</w:t>
      </w:r>
      <w:r>
        <w:rPr>
          <w:spacing w:val="-9"/>
        </w:rPr>
        <w:t> </w:t>
      </w:r>
      <w:r>
        <w:rPr/>
        <w:t>will</w:t>
      </w:r>
      <w:r>
        <w:rPr>
          <w:spacing w:val="-13"/>
        </w:rPr>
        <w:t> </w:t>
      </w:r>
      <w:r>
        <w:rPr/>
        <w:t>treat</w:t>
      </w:r>
      <w:r>
        <w:rPr>
          <w:spacing w:val="-9"/>
        </w:rPr>
        <w:t> </w:t>
      </w:r>
      <w:r>
        <w:rPr/>
        <w:t>all</w:t>
      </w:r>
      <w:r>
        <w:rPr>
          <w:spacing w:val="-13"/>
        </w:rPr>
        <w:t> </w:t>
      </w:r>
      <w:r>
        <w:rPr/>
        <w:t>materials</w:t>
      </w:r>
      <w:r>
        <w:rPr>
          <w:spacing w:val="-9"/>
        </w:rPr>
        <w:t> </w:t>
      </w:r>
      <w:r>
        <w:rPr/>
        <w:t>received</w:t>
      </w:r>
      <w:r>
        <w:rPr>
          <w:spacing w:val="-10"/>
        </w:rPr>
        <w:t> </w:t>
      </w:r>
      <w:r>
        <w:rPr/>
        <w:t>as</w:t>
      </w:r>
      <w:r>
        <w:rPr>
          <w:spacing w:val="-9"/>
        </w:rPr>
        <w:t> </w:t>
      </w:r>
      <w:r>
        <w:rPr/>
        <w:t>open</w:t>
      </w:r>
      <w:r>
        <w:rPr>
          <w:spacing w:val="-10"/>
        </w:rPr>
        <w:t> </w:t>
      </w:r>
      <w:r>
        <w:rPr/>
        <w:t>records.</w:t>
      </w:r>
      <w:r>
        <w:rPr>
          <w:spacing w:val="35"/>
        </w:rPr>
        <w:t> </w:t>
      </w:r>
      <w:r>
        <w:rPr/>
        <w:t>The</w:t>
      </w:r>
      <w:r>
        <w:rPr>
          <w:spacing w:val="-13"/>
        </w:rPr>
        <w:t> </w:t>
      </w:r>
      <w:r>
        <w:rPr/>
        <w:t>University</w:t>
      </w:r>
      <w:r>
        <w:rPr>
          <w:spacing w:val="-9"/>
        </w:rPr>
        <w:t> </w:t>
      </w:r>
      <w:r>
        <w:rPr/>
        <w:t>shall make the final determination as to what materials are or are not</w:t>
      </w:r>
      <w:r>
        <w:rPr>
          <w:spacing w:val="-8"/>
        </w:rPr>
        <w:t> </w:t>
      </w:r>
      <w:r>
        <w:rPr/>
        <w:t>exempt.</w:t>
      </w:r>
    </w:p>
    <w:p>
      <w:pPr>
        <w:pStyle w:val="BodyText"/>
        <w:spacing w:before="13"/>
        <w:rPr>
          <w:sz w:val="19"/>
        </w:rPr>
      </w:pPr>
    </w:p>
    <w:p>
      <w:pPr>
        <w:pStyle w:val="ListParagraph"/>
        <w:numPr>
          <w:ilvl w:val="1"/>
          <w:numId w:val="1"/>
        </w:numPr>
        <w:tabs>
          <w:tab w:pos="572" w:val="left" w:leader="none"/>
        </w:tabs>
        <w:spacing w:line="204" w:lineRule="auto" w:before="1" w:after="0"/>
        <w:ind w:left="571" w:right="213" w:hanging="360"/>
        <w:jc w:val="both"/>
        <w:rPr>
          <w:sz w:val="24"/>
        </w:rPr>
      </w:pPr>
      <w:r>
        <w:rPr>
          <w:sz w:val="24"/>
        </w:rPr>
        <w:t>Evaluation and </w:t>
      </w:r>
      <w:r>
        <w:rPr>
          <w:spacing w:val="-3"/>
          <w:sz w:val="24"/>
        </w:rPr>
        <w:t>Award: </w:t>
      </w:r>
      <w:r>
        <w:rPr>
          <w:sz w:val="24"/>
        </w:rPr>
        <w:t>Any clerical errors, apparent on its face, may be corrected by the Buyer before contract award. Upon discovering an apparent clerical error, the Buyer shall contact the Respondent and request clarification of the intended proposal. The correction shall be incorporated in the notice of award. The</w:t>
      </w:r>
      <w:r>
        <w:rPr>
          <w:spacing w:val="-13"/>
          <w:sz w:val="24"/>
        </w:rPr>
        <w:t> </w:t>
      </w:r>
      <w:r>
        <w:rPr>
          <w:sz w:val="24"/>
        </w:rPr>
        <w:t>University</w:t>
      </w:r>
      <w:r>
        <w:rPr>
          <w:spacing w:val="-12"/>
          <w:sz w:val="24"/>
        </w:rPr>
        <w:t> </w:t>
      </w:r>
      <w:r>
        <w:rPr>
          <w:sz w:val="24"/>
        </w:rPr>
        <w:t>reserves</w:t>
      </w:r>
      <w:r>
        <w:rPr>
          <w:spacing w:val="-11"/>
          <w:sz w:val="24"/>
        </w:rPr>
        <w:t> </w:t>
      </w:r>
      <w:r>
        <w:rPr>
          <w:sz w:val="24"/>
        </w:rPr>
        <w:t>the</w:t>
      </w:r>
      <w:r>
        <w:rPr>
          <w:spacing w:val="-12"/>
          <w:sz w:val="24"/>
        </w:rPr>
        <w:t> </w:t>
      </w:r>
      <w:r>
        <w:rPr>
          <w:sz w:val="24"/>
        </w:rPr>
        <w:t>right</w:t>
      </w:r>
      <w:r>
        <w:rPr>
          <w:spacing w:val="-12"/>
          <w:sz w:val="24"/>
        </w:rPr>
        <w:t> </w:t>
      </w:r>
      <w:r>
        <w:rPr>
          <w:sz w:val="24"/>
        </w:rPr>
        <w:t>to</w:t>
      </w:r>
      <w:r>
        <w:rPr>
          <w:spacing w:val="-14"/>
          <w:sz w:val="24"/>
        </w:rPr>
        <w:t> </w:t>
      </w:r>
      <w:r>
        <w:rPr>
          <w:sz w:val="24"/>
        </w:rPr>
        <w:t>request</w:t>
      </w:r>
      <w:r>
        <w:rPr>
          <w:spacing w:val="-11"/>
          <w:sz w:val="24"/>
        </w:rPr>
        <w:t> </w:t>
      </w:r>
      <w:r>
        <w:rPr>
          <w:sz w:val="24"/>
        </w:rPr>
        <w:t>clarification</w:t>
      </w:r>
      <w:r>
        <w:rPr>
          <w:spacing w:val="-12"/>
          <w:sz w:val="24"/>
        </w:rPr>
        <w:t> </w:t>
      </w:r>
      <w:r>
        <w:rPr>
          <w:sz w:val="24"/>
        </w:rPr>
        <w:t>of</w:t>
      </w:r>
      <w:r>
        <w:rPr>
          <w:spacing w:val="-15"/>
          <w:sz w:val="24"/>
        </w:rPr>
        <w:t> </w:t>
      </w:r>
      <w:r>
        <w:rPr>
          <w:sz w:val="24"/>
        </w:rPr>
        <w:t>any</w:t>
      </w:r>
      <w:r>
        <w:rPr>
          <w:spacing w:val="-12"/>
          <w:sz w:val="24"/>
        </w:rPr>
        <w:t> </w:t>
      </w:r>
      <w:r>
        <w:rPr>
          <w:sz w:val="24"/>
        </w:rPr>
        <w:t>portion</w:t>
      </w:r>
      <w:r>
        <w:rPr>
          <w:spacing w:val="-14"/>
          <w:sz w:val="24"/>
        </w:rPr>
        <w:t> </w:t>
      </w:r>
      <w:r>
        <w:rPr>
          <w:sz w:val="24"/>
        </w:rPr>
        <w:t>of</w:t>
      </w:r>
      <w:r>
        <w:rPr>
          <w:spacing w:val="-12"/>
          <w:sz w:val="24"/>
        </w:rPr>
        <w:t> </w:t>
      </w:r>
      <w:r>
        <w:rPr>
          <w:sz w:val="24"/>
        </w:rPr>
        <w:t>the</w:t>
      </w:r>
      <w:r>
        <w:rPr>
          <w:spacing w:val="-13"/>
          <w:sz w:val="24"/>
        </w:rPr>
        <w:t> </w:t>
      </w:r>
      <w:r>
        <w:rPr>
          <w:sz w:val="24"/>
        </w:rPr>
        <w:t>Respondent's</w:t>
      </w:r>
      <w:r>
        <w:rPr>
          <w:spacing w:val="-12"/>
          <w:sz w:val="24"/>
        </w:rPr>
        <w:t> </w:t>
      </w:r>
      <w:r>
        <w:rPr>
          <w:sz w:val="24"/>
        </w:rPr>
        <w:t>response</w:t>
      </w:r>
      <w:r>
        <w:rPr>
          <w:spacing w:val="-15"/>
          <w:sz w:val="24"/>
        </w:rPr>
        <w:t> </w:t>
      </w:r>
      <w:r>
        <w:rPr>
          <w:sz w:val="24"/>
        </w:rPr>
        <w:t>in</w:t>
      </w:r>
      <w:r>
        <w:rPr>
          <w:spacing w:val="-12"/>
          <w:sz w:val="24"/>
        </w:rPr>
        <w:t> </w:t>
      </w:r>
      <w:r>
        <w:rPr>
          <w:sz w:val="24"/>
        </w:rPr>
        <w:t>order to verify the intent. The Respondent is cautioned, however, that its response may be subject to acceptance or rejection without further</w:t>
      </w:r>
      <w:r>
        <w:rPr>
          <w:spacing w:val="-3"/>
          <w:sz w:val="24"/>
        </w:rPr>
        <w:t> </w:t>
      </w:r>
      <w:r>
        <w:rPr>
          <w:sz w:val="24"/>
        </w:rPr>
        <w:t>clarification.</w:t>
      </w:r>
    </w:p>
    <w:p>
      <w:pPr>
        <w:pStyle w:val="BodyText"/>
        <w:spacing w:before="11"/>
        <w:rPr>
          <w:sz w:val="19"/>
        </w:rPr>
      </w:pPr>
    </w:p>
    <w:p>
      <w:pPr>
        <w:pStyle w:val="BodyText"/>
        <w:spacing w:line="204" w:lineRule="auto" w:before="1"/>
        <w:ind w:left="840" w:right="217"/>
        <w:jc w:val="both"/>
      </w:pPr>
      <w:r>
        <w:rPr/>
        <w:t>The</w:t>
      </w:r>
      <w:r>
        <w:rPr>
          <w:spacing w:val="-6"/>
        </w:rPr>
        <w:t> </w:t>
      </w:r>
      <w:r>
        <w:rPr/>
        <w:t>University</w:t>
      </w:r>
      <w:r>
        <w:rPr>
          <w:spacing w:val="-4"/>
        </w:rPr>
        <w:t> </w:t>
      </w:r>
      <w:r>
        <w:rPr/>
        <w:t>reserves</w:t>
      </w:r>
      <w:r>
        <w:rPr>
          <w:spacing w:val="-4"/>
        </w:rPr>
        <w:t> </w:t>
      </w:r>
      <w:r>
        <w:rPr/>
        <w:t>the</w:t>
      </w:r>
      <w:r>
        <w:rPr>
          <w:spacing w:val="-6"/>
        </w:rPr>
        <w:t> </w:t>
      </w:r>
      <w:r>
        <w:rPr/>
        <w:t>right</w:t>
      </w:r>
      <w:r>
        <w:rPr>
          <w:spacing w:val="-5"/>
        </w:rPr>
        <w:t> </w:t>
      </w:r>
      <w:r>
        <w:rPr/>
        <w:t>to</w:t>
      </w:r>
      <w:r>
        <w:rPr>
          <w:spacing w:val="-4"/>
        </w:rPr>
        <w:t> </w:t>
      </w:r>
      <w:r>
        <w:rPr/>
        <w:t>make</w:t>
      </w:r>
      <w:r>
        <w:rPr>
          <w:spacing w:val="-6"/>
        </w:rPr>
        <w:t> </w:t>
      </w:r>
      <w:r>
        <w:rPr/>
        <w:t>an</w:t>
      </w:r>
      <w:r>
        <w:rPr>
          <w:spacing w:val="-8"/>
        </w:rPr>
        <w:t> </w:t>
      </w:r>
      <w:r>
        <w:rPr/>
        <w:t>award</w:t>
      </w:r>
      <w:r>
        <w:rPr>
          <w:spacing w:val="-5"/>
        </w:rPr>
        <w:t> </w:t>
      </w:r>
      <w:r>
        <w:rPr/>
        <w:t>to</w:t>
      </w:r>
      <w:r>
        <w:rPr>
          <w:spacing w:val="-4"/>
        </w:rPr>
        <w:t> </w:t>
      </w:r>
      <w:r>
        <w:rPr/>
        <w:t>the</w:t>
      </w:r>
      <w:r>
        <w:rPr>
          <w:spacing w:val="-8"/>
        </w:rPr>
        <w:t> </w:t>
      </w:r>
      <w:r>
        <w:rPr/>
        <w:t>responsive</w:t>
      </w:r>
      <w:r>
        <w:rPr>
          <w:spacing w:val="-6"/>
        </w:rPr>
        <w:t> </w:t>
      </w:r>
      <w:r>
        <w:rPr/>
        <w:t>and</w:t>
      </w:r>
      <w:r>
        <w:rPr>
          <w:spacing w:val="-5"/>
        </w:rPr>
        <w:t> </w:t>
      </w:r>
      <w:r>
        <w:rPr/>
        <w:t>responsible</w:t>
      </w:r>
      <w:r>
        <w:rPr>
          <w:spacing w:val="-5"/>
        </w:rPr>
        <w:t> </w:t>
      </w:r>
      <w:r>
        <w:rPr/>
        <w:t>Respondent</w:t>
      </w:r>
      <w:r>
        <w:rPr>
          <w:spacing w:val="-4"/>
        </w:rPr>
        <w:t> </w:t>
      </w:r>
      <w:r>
        <w:rPr/>
        <w:t>whose product or service meets the terms, conditions, and specifications of the RFP and whose proposal is considered</w:t>
      </w:r>
      <w:r>
        <w:rPr>
          <w:spacing w:val="7"/>
        </w:rPr>
        <w:t> </w:t>
      </w:r>
      <w:r>
        <w:rPr/>
        <w:t>to</w:t>
      </w:r>
      <w:r>
        <w:rPr>
          <w:spacing w:val="7"/>
        </w:rPr>
        <w:t> </w:t>
      </w:r>
      <w:r>
        <w:rPr/>
        <w:t>best</w:t>
      </w:r>
      <w:r>
        <w:rPr>
          <w:spacing w:val="8"/>
        </w:rPr>
        <w:t> </w:t>
      </w:r>
      <w:r>
        <w:rPr/>
        <w:t>serve</w:t>
      </w:r>
      <w:r>
        <w:rPr>
          <w:spacing w:val="8"/>
        </w:rPr>
        <w:t> </w:t>
      </w:r>
      <w:r>
        <w:rPr/>
        <w:t>the</w:t>
      </w:r>
      <w:r>
        <w:rPr>
          <w:spacing w:val="6"/>
        </w:rPr>
        <w:t> </w:t>
      </w:r>
      <w:r>
        <w:rPr/>
        <w:t>University's</w:t>
      </w:r>
      <w:r>
        <w:rPr>
          <w:spacing w:val="7"/>
        </w:rPr>
        <w:t> </w:t>
      </w:r>
      <w:r>
        <w:rPr/>
        <w:t>interest.</w:t>
      </w:r>
      <w:r>
        <w:rPr>
          <w:spacing w:val="15"/>
        </w:rPr>
        <w:t> </w:t>
      </w:r>
      <w:r>
        <w:rPr/>
        <w:t>In</w:t>
      </w:r>
      <w:r>
        <w:rPr>
          <w:spacing w:val="7"/>
        </w:rPr>
        <w:t> </w:t>
      </w:r>
      <w:r>
        <w:rPr/>
        <w:t>determining</w:t>
      </w:r>
      <w:r>
        <w:rPr>
          <w:spacing w:val="6"/>
        </w:rPr>
        <w:t> </w:t>
      </w:r>
      <w:r>
        <w:rPr/>
        <w:t>responsiveness</w:t>
      </w:r>
      <w:r>
        <w:rPr>
          <w:spacing w:val="8"/>
        </w:rPr>
        <w:t> </w:t>
      </w:r>
      <w:r>
        <w:rPr/>
        <w:t>and</w:t>
      </w:r>
      <w:r>
        <w:rPr>
          <w:spacing w:val="7"/>
        </w:rPr>
        <w:t> </w:t>
      </w:r>
      <w:r>
        <w:rPr/>
        <w:t>the</w:t>
      </w:r>
      <w:r>
        <w:rPr>
          <w:spacing w:val="6"/>
        </w:rPr>
        <w:t> </w:t>
      </w:r>
      <w:r>
        <w:rPr/>
        <w:t>responsibility</w:t>
      </w:r>
    </w:p>
    <w:p>
      <w:pPr>
        <w:spacing w:after="0" w:line="204" w:lineRule="auto"/>
        <w:jc w:val="both"/>
        <w:sectPr>
          <w:pgSz w:w="12240" w:h="15840"/>
          <w:pgMar w:header="0" w:footer="894" w:top="980" w:bottom="1120" w:left="600" w:right="500"/>
        </w:sectPr>
      </w:pPr>
    </w:p>
    <w:p>
      <w:pPr>
        <w:pStyle w:val="BodyText"/>
        <w:spacing w:line="204" w:lineRule="auto" w:before="28"/>
        <w:ind w:left="840" w:right="215"/>
        <w:jc w:val="both"/>
      </w:pPr>
      <w:r>
        <w:rPr/>
        <w:t>of the Respondent, the following shall be considered when applicable: the ability, capacity, and skill of the Respondent to perform as required; whether the Respondent can perform promptly, or within the time specified without delay or interference; the character, integrity, reputation, judgment, experience and efficiency of the Respondent; the quality of past performance by the Respondent; the previous and existing compliance by the Respondent with related laws and regulations; the sufficiency of the Respondent's</w:t>
      </w:r>
      <w:r>
        <w:rPr>
          <w:spacing w:val="-10"/>
        </w:rPr>
        <w:t> </w:t>
      </w:r>
      <w:r>
        <w:rPr/>
        <w:t>financial</w:t>
      </w:r>
      <w:r>
        <w:rPr>
          <w:spacing w:val="-9"/>
        </w:rPr>
        <w:t> </w:t>
      </w:r>
      <w:r>
        <w:rPr/>
        <w:t>resources;</w:t>
      </w:r>
      <w:r>
        <w:rPr>
          <w:spacing w:val="-9"/>
        </w:rPr>
        <w:t> </w:t>
      </w:r>
      <w:r>
        <w:rPr/>
        <w:t>the</w:t>
      </w:r>
      <w:r>
        <w:rPr>
          <w:spacing w:val="-9"/>
        </w:rPr>
        <w:t> </w:t>
      </w:r>
      <w:r>
        <w:rPr/>
        <w:t>availability,</w:t>
      </w:r>
      <w:r>
        <w:rPr>
          <w:spacing w:val="-8"/>
        </w:rPr>
        <w:t> </w:t>
      </w:r>
      <w:r>
        <w:rPr/>
        <w:t>quality</w:t>
      </w:r>
      <w:r>
        <w:rPr>
          <w:spacing w:val="-9"/>
        </w:rPr>
        <w:t> </w:t>
      </w:r>
      <w:r>
        <w:rPr/>
        <w:t>and</w:t>
      </w:r>
      <w:r>
        <w:rPr>
          <w:spacing w:val="-9"/>
        </w:rPr>
        <w:t> </w:t>
      </w:r>
      <w:r>
        <w:rPr/>
        <w:t>adaptability</w:t>
      </w:r>
      <w:r>
        <w:rPr>
          <w:spacing w:val="-9"/>
        </w:rPr>
        <w:t> </w:t>
      </w:r>
      <w:r>
        <w:rPr/>
        <w:t>of</w:t>
      </w:r>
      <w:r>
        <w:rPr>
          <w:spacing w:val="-9"/>
        </w:rPr>
        <w:t> </w:t>
      </w:r>
      <w:r>
        <w:rPr/>
        <w:t>the</w:t>
      </w:r>
      <w:r>
        <w:rPr>
          <w:spacing w:val="-10"/>
        </w:rPr>
        <w:t> </w:t>
      </w:r>
      <w:r>
        <w:rPr/>
        <w:t>Respondents</w:t>
      </w:r>
      <w:r>
        <w:rPr>
          <w:spacing w:val="-8"/>
        </w:rPr>
        <w:t> </w:t>
      </w:r>
      <w:r>
        <w:rPr/>
        <w:t>equipment, supplies</w:t>
      </w:r>
      <w:r>
        <w:rPr>
          <w:spacing w:val="-10"/>
        </w:rPr>
        <w:t> </w:t>
      </w:r>
      <w:r>
        <w:rPr/>
        <w:t>and/or</w:t>
      </w:r>
      <w:r>
        <w:rPr>
          <w:spacing w:val="-12"/>
        </w:rPr>
        <w:t> </w:t>
      </w:r>
      <w:r>
        <w:rPr/>
        <w:t>services</w:t>
      </w:r>
      <w:r>
        <w:rPr>
          <w:spacing w:val="-10"/>
        </w:rPr>
        <w:t> </w:t>
      </w:r>
      <w:r>
        <w:rPr/>
        <w:t>to</w:t>
      </w:r>
      <w:r>
        <w:rPr>
          <w:spacing w:val="-10"/>
        </w:rPr>
        <w:t> </w:t>
      </w:r>
      <w:r>
        <w:rPr/>
        <w:t>the</w:t>
      </w:r>
      <w:r>
        <w:rPr>
          <w:spacing w:val="-12"/>
        </w:rPr>
        <w:t> </w:t>
      </w:r>
      <w:r>
        <w:rPr/>
        <w:t>required</w:t>
      </w:r>
      <w:r>
        <w:rPr>
          <w:spacing w:val="-11"/>
        </w:rPr>
        <w:t> </w:t>
      </w:r>
      <w:r>
        <w:rPr/>
        <w:t>use;</w:t>
      </w:r>
      <w:r>
        <w:rPr>
          <w:spacing w:val="-12"/>
        </w:rPr>
        <w:t> </w:t>
      </w:r>
      <w:r>
        <w:rPr/>
        <w:t>the</w:t>
      </w:r>
      <w:r>
        <w:rPr>
          <w:spacing w:val="-11"/>
        </w:rPr>
        <w:t> </w:t>
      </w:r>
      <w:r>
        <w:rPr/>
        <w:t>ability</w:t>
      </w:r>
      <w:r>
        <w:rPr>
          <w:spacing w:val="-11"/>
        </w:rPr>
        <w:t> </w:t>
      </w:r>
      <w:r>
        <w:rPr/>
        <w:t>of</w:t>
      </w:r>
      <w:r>
        <w:rPr>
          <w:spacing w:val="-11"/>
        </w:rPr>
        <w:t> </w:t>
      </w:r>
      <w:r>
        <w:rPr/>
        <w:t>the</w:t>
      </w:r>
      <w:r>
        <w:rPr>
          <w:spacing w:val="-11"/>
        </w:rPr>
        <w:t> </w:t>
      </w:r>
      <w:r>
        <w:rPr/>
        <w:t>Respondent</w:t>
      </w:r>
      <w:r>
        <w:rPr>
          <w:spacing w:val="-11"/>
        </w:rPr>
        <w:t> </w:t>
      </w:r>
      <w:r>
        <w:rPr/>
        <w:t>to</w:t>
      </w:r>
      <w:r>
        <w:rPr>
          <w:spacing w:val="-11"/>
        </w:rPr>
        <w:t> </w:t>
      </w:r>
      <w:r>
        <w:rPr/>
        <w:t>provide</w:t>
      </w:r>
      <w:r>
        <w:rPr>
          <w:spacing w:val="-12"/>
        </w:rPr>
        <w:t> </w:t>
      </w:r>
      <w:r>
        <w:rPr/>
        <w:t>future</w:t>
      </w:r>
      <w:r>
        <w:rPr>
          <w:spacing w:val="-12"/>
        </w:rPr>
        <w:t> </w:t>
      </w:r>
      <w:r>
        <w:rPr/>
        <w:t>maintenance, service and</w:t>
      </w:r>
      <w:r>
        <w:rPr>
          <w:spacing w:val="-1"/>
        </w:rPr>
        <w:t> </w:t>
      </w:r>
      <w:r>
        <w:rPr/>
        <w:t>parts.</w:t>
      </w:r>
    </w:p>
    <w:p>
      <w:pPr>
        <w:pStyle w:val="BodyText"/>
        <w:spacing w:before="12"/>
        <w:rPr>
          <w:sz w:val="19"/>
        </w:rPr>
      </w:pPr>
    </w:p>
    <w:p>
      <w:pPr>
        <w:pStyle w:val="BodyText"/>
        <w:spacing w:line="204" w:lineRule="auto"/>
        <w:ind w:left="840" w:right="218"/>
        <w:jc w:val="both"/>
      </w:pPr>
      <w:r>
        <w:rPr/>
        <w:t>The</w:t>
      </w:r>
      <w:r>
        <w:rPr>
          <w:spacing w:val="-11"/>
        </w:rPr>
        <w:t> </w:t>
      </w:r>
      <w:r>
        <w:rPr/>
        <w:t>University</w:t>
      </w:r>
      <w:r>
        <w:rPr>
          <w:spacing w:val="-9"/>
        </w:rPr>
        <w:t> </w:t>
      </w:r>
      <w:r>
        <w:rPr/>
        <w:t>has</w:t>
      </w:r>
      <w:r>
        <w:rPr>
          <w:spacing w:val="-9"/>
        </w:rPr>
        <w:t> </w:t>
      </w:r>
      <w:r>
        <w:rPr/>
        <w:t>established</w:t>
      </w:r>
      <w:r>
        <w:rPr>
          <w:spacing w:val="-10"/>
        </w:rPr>
        <w:t> </w:t>
      </w:r>
      <w:r>
        <w:rPr/>
        <w:t>formal</w:t>
      </w:r>
      <w:r>
        <w:rPr>
          <w:spacing w:val="-9"/>
        </w:rPr>
        <w:t> </w:t>
      </w:r>
      <w:r>
        <w:rPr/>
        <w:t>protest</w:t>
      </w:r>
      <w:r>
        <w:rPr>
          <w:spacing w:val="-9"/>
        </w:rPr>
        <w:t> </w:t>
      </w:r>
      <w:r>
        <w:rPr/>
        <w:t>procedures.</w:t>
      </w:r>
      <w:r>
        <w:rPr>
          <w:spacing w:val="35"/>
        </w:rPr>
        <w:t> </w:t>
      </w:r>
      <w:r>
        <w:rPr/>
        <w:t>For</w:t>
      </w:r>
      <w:r>
        <w:rPr>
          <w:spacing w:val="-10"/>
        </w:rPr>
        <w:t> </w:t>
      </w:r>
      <w:r>
        <w:rPr/>
        <w:t>more</w:t>
      </w:r>
      <w:r>
        <w:rPr>
          <w:spacing w:val="-11"/>
        </w:rPr>
        <w:t> </w:t>
      </w:r>
      <w:r>
        <w:rPr/>
        <w:t>information</w:t>
      </w:r>
      <w:r>
        <w:rPr>
          <w:spacing w:val="-10"/>
        </w:rPr>
        <w:t> </w:t>
      </w:r>
      <w:r>
        <w:rPr/>
        <w:t>about</w:t>
      </w:r>
      <w:r>
        <w:rPr>
          <w:spacing w:val="-10"/>
        </w:rPr>
        <w:t> </w:t>
      </w:r>
      <w:r>
        <w:rPr/>
        <w:t>these</w:t>
      </w:r>
      <w:r>
        <w:rPr>
          <w:spacing w:val="-12"/>
        </w:rPr>
        <w:t> </w:t>
      </w:r>
      <w:r>
        <w:rPr/>
        <w:t>procedures, contact the Buyer in Campus Procurement</w:t>
      </w:r>
      <w:r>
        <w:rPr>
          <w:spacing w:val="-3"/>
        </w:rPr>
        <w:t> </w:t>
      </w:r>
      <w:r>
        <w:rPr/>
        <w:t>Services.</w:t>
      </w:r>
    </w:p>
    <w:p>
      <w:pPr>
        <w:pStyle w:val="BodyText"/>
        <w:spacing w:line="204" w:lineRule="auto"/>
        <w:ind w:left="840" w:right="213"/>
        <w:jc w:val="both"/>
      </w:pPr>
      <w:r>
        <w:rPr/>
        <w:t>The University reserves the right to accept or reject any or all proposals and to waive any technicality or informality.</w:t>
      </w:r>
    </w:p>
    <w:p>
      <w:pPr>
        <w:pStyle w:val="BodyText"/>
        <w:rPr>
          <w:sz w:val="20"/>
        </w:rPr>
      </w:pPr>
    </w:p>
    <w:p>
      <w:pPr>
        <w:pStyle w:val="ListParagraph"/>
        <w:numPr>
          <w:ilvl w:val="1"/>
          <w:numId w:val="1"/>
        </w:numPr>
        <w:tabs>
          <w:tab w:pos="572" w:val="left" w:leader="none"/>
        </w:tabs>
        <w:spacing w:line="204" w:lineRule="auto" w:before="0" w:after="0"/>
        <w:ind w:left="571" w:right="220" w:hanging="360"/>
        <w:jc w:val="both"/>
        <w:rPr>
          <w:sz w:val="24"/>
        </w:rPr>
      </w:pPr>
      <w:r>
        <w:rPr>
          <w:spacing w:val="-3"/>
          <w:sz w:val="24"/>
        </w:rPr>
        <w:t>Contract Award </w:t>
      </w:r>
      <w:r>
        <w:rPr>
          <w:sz w:val="24"/>
        </w:rPr>
        <w:t>and </w:t>
      </w:r>
      <w:r>
        <w:rPr>
          <w:spacing w:val="-3"/>
          <w:sz w:val="24"/>
        </w:rPr>
        <w:t>Assignment: </w:t>
      </w:r>
      <w:r>
        <w:rPr>
          <w:sz w:val="24"/>
        </w:rPr>
        <w:t>The successful Respondent shall, within ten (10) days after the receipt of formal notice of award of the contract, enter into a contract prepared by the University. The Contract Documents shall include the Notice to Bidders, Specifications and Addenda, Exhibits, Proposal Form, Form of Contract, Letter of Award, University Purchase Order, and Form of Performance Bond, if</w:t>
      </w:r>
      <w:r>
        <w:rPr>
          <w:spacing w:val="-22"/>
          <w:sz w:val="24"/>
        </w:rPr>
        <w:t> </w:t>
      </w:r>
      <w:r>
        <w:rPr>
          <w:sz w:val="24"/>
        </w:rPr>
        <w:t>required.</w:t>
      </w:r>
    </w:p>
    <w:p>
      <w:pPr>
        <w:pStyle w:val="BodyText"/>
        <w:rPr>
          <w:sz w:val="20"/>
        </w:rPr>
      </w:pPr>
    </w:p>
    <w:p>
      <w:pPr>
        <w:pStyle w:val="BodyText"/>
        <w:spacing w:line="204" w:lineRule="auto"/>
        <w:ind w:left="840" w:right="216"/>
        <w:jc w:val="both"/>
      </w:pPr>
      <w:r>
        <w:rPr/>
        <w:t>The contract to be awarded and any amount to be paid thereunder shall not be transferred, sublet, or assigned without the prior approval of the University.</w:t>
      </w:r>
    </w:p>
    <w:p>
      <w:pPr>
        <w:pStyle w:val="BodyText"/>
        <w:spacing w:before="4"/>
        <w:rPr>
          <w:sz w:val="20"/>
        </w:rPr>
      </w:pPr>
    </w:p>
    <w:p>
      <w:pPr>
        <w:pStyle w:val="ListParagraph"/>
        <w:numPr>
          <w:ilvl w:val="1"/>
          <w:numId w:val="1"/>
        </w:numPr>
        <w:tabs>
          <w:tab w:pos="572" w:val="left" w:leader="none"/>
        </w:tabs>
        <w:spacing w:line="204" w:lineRule="auto" w:before="0" w:after="0"/>
        <w:ind w:left="571" w:right="212" w:hanging="360"/>
        <w:jc w:val="both"/>
        <w:rPr>
          <w:sz w:val="24"/>
        </w:rPr>
      </w:pPr>
      <w:r>
        <w:rPr>
          <w:spacing w:val="-3"/>
          <w:sz w:val="24"/>
        </w:rPr>
        <w:t>Contract Termination </w:t>
      </w:r>
      <w:r>
        <w:rPr>
          <w:sz w:val="24"/>
        </w:rPr>
        <w:t>for Cause: In the event the Contractor violates any provisions of the contract, the University may serve written notice upon Contractor and Surety setting forth the violations and demanding compliance with the contract. Unless within ten (10) days after serving such notice, such violations shall cease and satisfactory arrangements for correction be made, the University may terminate the contract by serving written notice upon the Contractor; but the liability of Contractor and Surety for such violation; and for any and all damages resulting there from, as well as from such termination, shall not be affected by any such</w:t>
      </w:r>
      <w:r>
        <w:rPr>
          <w:spacing w:val="-1"/>
          <w:sz w:val="24"/>
        </w:rPr>
        <w:t> </w:t>
      </w:r>
      <w:r>
        <w:rPr>
          <w:sz w:val="24"/>
        </w:rPr>
        <w:t>termination.</w:t>
      </w:r>
    </w:p>
    <w:p>
      <w:pPr>
        <w:pStyle w:val="BodyText"/>
        <w:spacing w:before="11"/>
        <w:rPr>
          <w:sz w:val="19"/>
        </w:rPr>
      </w:pPr>
    </w:p>
    <w:p>
      <w:pPr>
        <w:pStyle w:val="ListParagraph"/>
        <w:numPr>
          <w:ilvl w:val="1"/>
          <w:numId w:val="1"/>
        </w:numPr>
        <w:tabs>
          <w:tab w:pos="572" w:val="left" w:leader="none"/>
        </w:tabs>
        <w:spacing w:line="204" w:lineRule="auto" w:before="0" w:after="0"/>
        <w:ind w:left="571" w:right="217" w:hanging="360"/>
        <w:jc w:val="both"/>
        <w:rPr>
          <w:sz w:val="24"/>
        </w:rPr>
      </w:pPr>
      <w:r>
        <w:rPr>
          <w:spacing w:val="-3"/>
          <w:sz w:val="24"/>
        </w:rPr>
        <w:t>Contract </w:t>
      </w:r>
      <w:r>
        <w:rPr>
          <w:sz w:val="24"/>
        </w:rPr>
        <w:t>Termination for </w:t>
      </w:r>
      <w:r>
        <w:rPr>
          <w:spacing w:val="-3"/>
          <w:sz w:val="24"/>
        </w:rPr>
        <w:t>Convenience: </w:t>
      </w:r>
      <w:r>
        <w:rPr>
          <w:sz w:val="24"/>
        </w:rPr>
        <w:t>The University reserves the right, in its best interest as determined by the University, to cancel the contract by given written notice to the Contractor thirty (30) days prior to the effective date of such</w:t>
      </w:r>
      <w:r>
        <w:rPr>
          <w:spacing w:val="-5"/>
          <w:sz w:val="24"/>
        </w:rPr>
        <w:t> </w:t>
      </w:r>
      <w:r>
        <w:rPr>
          <w:sz w:val="24"/>
        </w:rPr>
        <w:t>cancellation.</w:t>
      </w:r>
    </w:p>
    <w:p>
      <w:pPr>
        <w:pStyle w:val="BodyText"/>
        <w:rPr>
          <w:sz w:val="20"/>
        </w:rPr>
      </w:pPr>
    </w:p>
    <w:p>
      <w:pPr>
        <w:pStyle w:val="ListParagraph"/>
        <w:numPr>
          <w:ilvl w:val="1"/>
          <w:numId w:val="1"/>
        </w:numPr>
        <w:tabs>
          <w:tab w:pos="572" w:val="left" w:leader="none"/>
        </w:tabs>
        <w:spacing w:line="204" w:lineRule="auto" w:before="1" w:after="0"/>
        <w:ind w:left="571" w:right="211" w:hanging="360"/>
        <w:jc w:val="both"/>
        <w:rPr>
          <w:sz w:val="24"/>
        </w:rPr>
      </w:pPr>
      <w:r>
        <w:rPr>
          <w:spacing w:val="-3"/>
          <w:sz w:val="24"/>
        </w:rPr>
        <w:t>Warranty </w:t>
      </w:r>
      <w:r>
        <w:rPr>
          <w:sz w:val="24"/>
        </w:rPr>
        <w:t>and </w:t>
      </w:r>
      <w:r>
        <w:rPr>
          <w:spacing w:val="-3"/>
          <w:sz w:val="24"/>
        </w:rPr>
        <w:t>Acceptance: </w:t>
      </w:r>
      <w:r>
        <w:rPr>
          <w:sz w:val="24"/>
        </w:rPr>
        <w:t>The Contractor expressly warrants that all equipment, supplies, and/or services provided</w:t>
      </w:r>
      <w:r>
        <w:rPr>
          <w:spacing w:val="-7"/>
          <w:sz w:val="24"/>
        </w:rPr>
        <w:t> </w:t>
      </w:r>
      <w:r>
        <w:rPr>
          <w:sz w:val="24"/>
        </w:rPr>
        <w:t>shall:</w:t>
      </w:r>
      <w:r>
        <w:rPr>
          <w:spacing w:val="41"/>
          <w:sz w:val="24"/>
        </w:rPr>
        <w:t> </w:t>
      </w:r>
      <w:r>
        <w:rPr>
          <w:sz w:val="24"/>
        </w:rPr>
        <w:t>(1)</w:t>
      </w:r>
      <w:r>
        <w:rPr>
          <w:spacing w:val="-8"/>
          <w:sz w:val="24"/>
        </w:rPr>
        <w:t> </w:t>
      </w:r>
      <w:r>
        <w:rPr>
          <w:sz w:val="24"/>
        </w:rPr>
        <w:t>conform</w:t>
      </w:r>
      <w:r>
        <w:rPr>
          <w:spacing w:val="-8"/>
          <w:sz w:val="24"/>
        </w:rPr>
        <w:t> </w:t>
      </w:r>
      <w:r>
        <w:rPr>
          <w:sz w:val="24"/>
        </w:rPr>
        <w:t>to</w:t>
      </w:r>
      <w:r>
        <w:rPr>
          <w:spacing w:val="-6"/>
          <w:sz w:val="24"/>
        </w:rPr>
        <w:t> </w:t>
      </w:r>
      <w:r>
        <w:rPr>
          <w:sz w:val="24"/>
        </w:rPr>
        <w:t>each</w:t>
      </w:r>
      <w:r>
        <w:rPr>
          <w:spacing w:val="-9"/>
          <w:sz w:val="24"/>
        </w:rPr>
        <w:t> </w:t>
      </w:r>
      <w:r>
        <w:rPr>
          <w:sz w:val="24"/>
        </w:rPr>
        <w:t>and</w:t>
      </w:r>
      <w:r>
        <w:rPr>
          <w:spacing w:val="-6"/>
          <w:sz w:val="24"/>
        </w:rPr>
        <w:t> </w:t>
      </w:r>
      <w:r>
        <w:rPr>
          <w:sz w:val="24"/>
        </w:rPr>
        <w:t>every</w:t>
      </w:r>
      <w:r>
        <w:rPr>
          <w:spacing w:val="-8"/>
          <w:sz w:val="24"/>
        </w:rPr>
        <w:t> </w:t>
      </w:r>
      <w:r>
        <w:rPr>
          <w:sz w:val="24"/>
        </w:rPr>
        <w:t>specification,</w:t>
      </w:r>
      <w:r>
        <w:rPr>
          <w:spacing w:val="-8"/>
          <w:sz w:val="24"/>
        </w:rPr>
        <w:t> </w:t>
      </w:r>
      <w:r>
        <w:rPr>
          <w:sz w:val="24"/>
        </w:rPr>
        <w:t>drawing,</w:t>
      </w:r>
      <w:r>
        <w:rPr>
          <w:spacing w:val="-7"/>
          <w:sz w:val="24"/>
        </w:rPr>
        <w:t> </w:t>
      </w:r>
      <w:r>
        <w:rPr>
          <w:sz w:val="24"/>
        </w:rPr>
        <w:t>sample</w:t>
      </w:r>
      <w:r>
        <w:rPr>
          <w:spacing w:val="-7"/>
          <w:sz w:val="24"/>
        </w:rPr>
        <w:t> </w:t>
      </w:r>
      <w:r>
        <w:rPr>
          <w:sz w:val="24"/>
        </w:rPr>
        <w:t>or</w:t>
      </w:r>
      <w:r>
        <w:rPr>
          <w:spacing w:val="-8"/>
          <w:sz w:val="24"/>
        </w:rPr>
        <w:t> </w:t>
      </w:r>
      <w:r>
        <w:rPr>
          <w:sz w:val="24"/>
        </w:rPr>
        <w:t>other</w:t>
      </w:r>
      <w:r>
        <w:rPr>
          <w:spacing w:val="-8"/>
          <w:sz w:val="24"/>
        </w:rPr>
        <w:t> </w:t>
      </w:r>
      <w:r>
        <w:rPr>
          <w:sz w:val="24"/>
        </w:rPr>
        <w:t>description</w:t>
      </w:r>
      <w:r>
        <w:rPr>
          <w:spacing w:val="-7"/>
          <w:sz w:val="24"/>
        </w:rPr>
        <w:t> </w:t>
      </w:r>
      <w:r>
        <w:rPr>
          <w:sz w:val="24"/>
        </w:rPr>
        <w:t>which</w:t>
      </w:r>
      <w:r>
        <w:rPr>
          <w:spacing w:val="-6"/>
          <w:sz w:val="24"/>
        </w:rPr>
        <w:t> </w:t>
      </w:r>
      <w:r>
        <w:rPr>
          <w:sz w:val="24"/>
        </w:rPr>
        <w:t>was furnished or adopted by the University, (2) be fit and sufficient for the purpose expressed in the RFP, (3) be merchantable, (4) be of good materials and workmanship, (5) be free from defect. Such warranty shall survive delivery and shall not be deemed waived either by reason of the University's acceptance of or payment for such equipment, supplies, and/or</w:t>
      </w:r>
      <w:r>
        <w:rPr>
          <w:spacing w:val="-3"/>
          <w:sz w:val="24"/>
        </w:rPr>
        <w:t> </w:t>
      </w:r>
      <w:r>
        <w:rPr>
          <w:sz w:val="24"/>
        </w:rPr>
        <w:t>services.</w:t>
      </w:r>
    </w:p>
    <w:p>
      <w:pPr>
        <w:pStyle w:val="BodyText"/>
        <w:rPr>
          <w:sz w:val="20"/>
        </w:rPr>
      </w:pPr>
    </w:p>
    <w:p>
      <w:pPr>
        <w:pStyle w:val="BodyText"/>
        <w:spacing w:line="204" w:lineRule="auto"/>
        <w:ind w:left="840" w:right="216"/>
        <w:jc w:val="both"/>
      </w:pPr>
      <w:r>
        <w:rPr/>
        <w:t>No equipment, supplies, and/or services received by the University pursuant to a contract shall be deemed accepted until the University has had a reasonable opportunity to inspect said equipment, supplies</w:t>
      </w:r>
      <w:r>
        <w:rPr>
          <w:spacing w:val="-11"/>
        </w:rPr>
        <w:t> </w:t>
      </w:r>
      <w:r>
        <w:rPr/>
        <w:t>and/or</w:t>
      </w:r>
      <w:r>
        <w:rPr>
          <w:spacing w:val="-13"/>
        </w:rPr>
        <w:t> </w:t>
      </w:r>
      <w:r>
        <w:rPr/>
        <w:t>services.</w:t>
      </w:r>
      <w:r>
        <w:rPr>
          <w:spacing w:val="27"/>
        </w:rPr>
        <w:t> </w:t>
      </w:r>
      <w:r>
        <w:rPr/>
        <w:t>All</w:t>
      </w:r>
      <w:r>
        <w:rPr>
          <w:spacing w:val="-12"/>
        </w:rPr>
        <w:t> </w:t>
      </w:r>
      <w:r>
        <w:rPr/>
        <w:t>equipment,</w:t>
      </w:r>
      <w:r>
        <w:rPr>
          <w:spacing w:val="-12"/>
        </w:rPr>
        <w:t> </w:t>
      </w:r>
      <w:r>
        <w:rPr/>
        <w:t>supplies,</w:t>
      </w:r>
      <w:r>
        <w:rPr>
          <w:spacing w:val="-11"/>
        </w:rPr>
        <w:t> </w:t>
      </w:r>
      <w:r>
        <w:rPr/>
        <w:t>and/or</w:t>
      </w:r>
      <w:r>
        <w:rPr>
          <w:spacing w:val="-13"/>
        </w:rPr>
        <w:t> </w:t>
      </w:r>
      <w:r>
        <w:rPr/>
        <w:t>services</w:t>
      </w:r>
      <w:r>
        <w:rPr>
          <w:spacing w:val="-10"/>
        </w:rPr>
        <w:t> </w:t>
      </w:r>
      <w:r>
        <w:rPr/>
        <w:t>which</w:t>
      </w:r>
      <w:r>
        <w:rPr>
          <w:spacing w:val="-14"/>
        </w:rPr>
        <w:t> </w:t>
      </w:r>
      <w:r>
        <w:rPr/>
        <w:t>do</w:t>
      </w:r>
      <w:r>
        <w:rPr>
          <w:spacing w:val="-14"/>
        </w:rPr>
        <w:t> </w:t>
      </w:r>
      <w:r>
        <w:rPr/>
        <w:t>not</w:t>
      </w:r>
      <w:r>
        <w:rPr>
          <w:spacing w:val="-12"/>
        </w:rPr>
        <w:t> </w:t>
      </w:r>
      <w:r>
        <w:rPr/>
        <w:t>comply</w:t>
      </w:r>
      <w:r>
        <w:rPr>
          <w:spacing w:val="-14"/>
        </w:rPr>
        <w:t> </w:t>
      </w:r>
      <w:r>
        <w:rPr/>
        <w:t>with</w:t>
      </w:r>
      <w:r>
        <w:rPr>
          <w:spacing w:val="-13"/>
        </w:rPr>
        <w:t> </w:t>
      </w:r>
      <w:r>
        <w:rPr/>
        <w:t>specifications and/or requirements or which are otherwise unacceptable or defective may be rejected. In addition, all equipment,</w:t>
      </w:r>
      <w:r>
        <w:rPr>
          <w:spacing w:val="12"/>
        </w:rPr>
        <w:t> </w:t>
      </w:r>
      <w:r>
        <w:rPr/>
        <w:t>supplies,</w:t>
      </w:r>
      <w:r>
        <w:rPr>
          <w:spacing w:val="13"/>
        </w:rPr>
        <w:t> </w:t>
      </w:r>
      <w:r>
        <w:rPr/>
        <w:t>and/or</w:t>
      </w:r>
      <w:r>
        <w:rPr>
          <w:spacing w:val="12"/>
        </w:rPr>
        <w:t> </w:t>
      </w:r>
      <w:r>
        <w:rPr/>
        <w:t>services</w:t>
      </w:r>
      <w:r>
        <w:rPr>
          <w:spacing w:val="14"/>
        </w:rPr>
        <w:t> </w:t>
      </w:r>
      <w:r>
        <w:rPr/>
        <w:t>which</w:t>
      </w:r>
      <w:r>
        <w:rPr>
          <w:spacing w:val="14"/>
        </w:rPr>
        <w:t> </w:t>
      </w:r>
      <w:r>
        <w:rPr/>
        <w:t>are</w:t>
      </w:r>
      <w:r>
        <w:rPr>
          <w:spacing w:val="15"/>
        </w:rPr>
        <w:t> </w:t>
      </w:r>
      <w:r>
        <w:rPr/>
        <w:t>discovered</w:t>
      </w:r>
      <w:r>
        <w:rPr>
          <w:spacing w:val="14"/>
        </w:rPr>
        <w:t> </w:t>
      </w:r>
      <w:r>
        <w:rPr/>
        <w:t>to</w:t>
      </w:r>
      <w:r>
        <w:rPr>
          <w:spacing w:val="14"/>
        </w:rPr>
        <w:t> </w:t>
      </w:r>
      <w:r>
        <w:rPr/>
        <w:t>be</w:t>
      </w:r>
      <w:r>
        <w:rPr>
          <w:spacing w:val="13"/>
        </w:rPr>
        <w:t> </w:t>
      </w:r>
      <w:r>
        <w:rPr/>
        <w:t>defective</w:t>
      </w:r>
      <w:r>
        <w:rPr>
          <w:spacing w:val="13"/>
        </w:rPr>
        <w:t> </w:t>
      </w:r>
      <w:r>
        <w:rPr/>
        <w:t>or</w:t>
      </w:r>
      <w:r>
        <w:rPr>
          <w:spacing w:val="12"/>
        </w:rPr>
        <w:t> </w:t>
      </w:r>
      <w:r>
        <w:rPr/>
        <w:t>which</w:t>
      </w:r>
      <w:r>
        <w:rPr>
          <w:spacing w:val="14"/>
        </w:rPr>
        <w:t> </w:t>
      </w:r>
      <w:r>
        <w:rPr/>
        <w:t>do</w:t>
      </w:r>
      <w:r>
        <w:rPr>
          <w:spacing w:val="14"/>
        </w:rPr>
        <w:t> </w:t>
      </w:r>
      <w:r>
        <w:rPr/>
        <w:t>not</w:t>
      </w:r>
      <w:r>
        <w:rPr>
          <w:spacing w:val="14"/>
        </w:rPr>
        <w:t> </w:t>
      </w:r>
      <w:r>
        <w:rPr/>
        <w:t>conform</w:t>
      </w:r>
      <w:r>
        <w:rPr>
          <w:spacing w:val="13"/>
        </w:rPr>
        <w:t> </w:t>
      </w:r>
      <w:r>
        <w:rPr/>
        <w:t>to</w:t>
      </w:r>
    </w:p>
    <w:p>
      <w:pPr>
        <w:spacing w:after="0" w:line="204" w:lineRule="auto"/>
        <w:jc w:val="both"/>
        <w:sectPr>
          <w:pgSz w:w="12240" w:h="15840"/>
          <w:pgMar w:header="0" w:footer="894" w:top="680" w:bottom="1120" w:left="600" w:right="500"/>
        </w:sectPr>
      </w:pPr>
    </w:p>
    <w:p>
      <w:pPr>
        <w:pStyle w:val="BodyText"/>
        <w:spacing w:line="204" w:lineRule="auto" w:before="28"/>
        <w:ind w:left="840"/>
      </w:pPr>
      <w:r>
        <w:rPr/>
        <w:t>any warranty of the Contractor upon inspection (or at any later time if the defects contained were not reasonably ascertainable upon the initial inspection) may be rejected.</w:t>
      </w:r>
    </w:p>
    <w:p>
      <w:pPr>
        <w:pStyle w:val="BodyText"/>
        <w:spacing w:before="3"/>
        <w:rPr>
          <w:sz w:val="20"/>
        </w:rPr>
      </w:pPr>
    </w:p>
    <w:p>
      <w:pPr>
        <w:pStyle w:val="ListParagraph"/>
        <w:numPr>
          <w:ilvl w:val="1"/>
          <w:numId w:val="1"/>
        </w:numPr>
        <w:tabs>
          <w:tab w:pos="572" w:val="left" w:leader="none"/>
        </w:tabs>
        <w:spacing w:line="204" w:lineRule="auto" w:before="0" w:after="0"/>
        <w:ind w:left="571" w:right="214" w:hanging="360"/>
        <w:jc w:val="both"/>
        <w:rPr>
          <w:sz w:val="24"/>
        </w:rPr>
      </w:pPr>
      <w:r>
        <w:rPr>
          <w:spacing w:val="-3"/>
          <w:sz w:val="24"/>
        </w:rPr>
        <w:t>Payment:</w:t>
      </w:r>
      <w:r>
        <w:rPr>
          <w:spacing w:val="-14"/>
          <w:sz w:val="24"/>
        </w:rPr>
        <w:t> </w:t>
      </w:r>
      <w:r>
        <w:rPr>
          <w:sz w:val="24"/>
        </w:rPr>
        <w:t>Preferred</w:t>
      </w:r>
      <w:r>
        <w:rPr>
          <w:spacing w:val="-11"/>
          <w:sz w:val="24"/>
        </w:rPr>
        <w:t> </w:t>
      </w:r>
      <w:r>
        <w:rPr>
          <w:sz w:val="24"/>
        </w:rPr>
        <w:t>settlement</w:t>
      </w:r>
      <w:r>
        <w:rPr>
          <w:spacing w:val="-11"/>
          <w:sz w:val="24"/>
        </w:rPr>
        <w:t> </w:t>
      </w:r>
      <w:r>
        <w:rPr>
          <w:sz w:val="24"/>
        </w:rPr>
        <w:t>method</w:t>
      </w:r>
      <w:r>
        <w:rPr>
          <w:spacing w:val="-11"/>
          <w:sz w:val="24"/>
        </w:rPr>
        <w:t> </w:t>
      </w:r>
      <w:r>
        <w:rPr>
          <w:sz w:val="24"/>
        </w:rPr>
        <w:t>is</w:t>
      </w:r>
      <w:r>
        <w:rPr>
          <w:spacing w:val="-13"/>
          <w:sz w:val="24"/>
        </w:rPr>
        <w:t> </w:t>
      </w:r>
      <w:r>
        <w:rPr>
          <w:sz w:val="24"/>
        </w:rPr>
        <w:t>through</w:t>
      </w:r>
      <w:r>
        <w:rPr>
          <w:spacing w:val="-14"/>
          <w:sz w:val="24"/>
        </w:rPr>
        <w:t> </w:t>
      </w:r>
      <w:r>
        <w:rPr>
          <w:sz w:val="24"/>
        </w:rPr>
        <w:t>the</w:t>
      </w:r>
      <w:r>
        <w:rPr>
          <w:spacing w:val="-12"/>
          <w:sz w:val="24"/>
        </w:rPr>
        <w:t> </w:t>
      </w:r>
      <w:r>
        <w:rPr>
          <w:sz w:val="24"/>
        </w:rPr>
        <w:t>use</w:t>
      </w:r>
      <w:r>
        <w:rPr>
          <w:spacing w:val="-12"/>
          <w:sz w:val="24"/>
        </w:rPr>
        <w:t> </w:t>
      </w:r>
      <w:r>
        <w:rPr>
          <w:sz w:val="24"/>
        </w:rPr>
        <w:t>of</w:t>
      </w:r>
      <w:r>
        <w:rPr>
          <w:spacing w:val="-14"/>
          <w:sz w:val="24"/>
        </w:rPr>
        <w:t> </w:t>
      </w:r>
      <w:r>
        <w:rPr>
          <w:sz w:val="24"/>
        </w:rPr>
        <w:t>Electronic</w:t>
      </w:r>
      <w:r>
        <w:rPr>
          <w:spacing w:val="-13"/>
          <w:sz w:val="24"/>
        </w:rPr>
        <w:t> </w:t>
      </w:r>
      <w:r>
        <w:rPr>
          <w:sz w:val="24"/>
        </w:rPr>
        <w:t>Accounts</w:t>
      </w:r>
      <w:r>
        <w:rPr>
          <w:spacing w:val="-13"/>
          <w:sz w:val="24"/>
        </w:rPr>
        <w:t> </w:t>
      </w:r>
      <w:r>
        <w:rPr>
          <w:sz w:val="24"/>
        </w:rPr>
        <w:t>Payable</w:t>
      </w:r>
      <w:r>
        <w:rPr>
          <w:spacing w:val="-13"/>
          <w:sz w:val="24"/>
        </w:rPr>
        <w:t> </w:t>
      </w:r>
      <w:r>
        <w:rPr>
          <w:sz w:val="24"/>
        </w:rPr>
        <w:t>solutions.</w:t>
      </w:r>
      <w:r>
        <w:rPr>
          <w:spacing w:val="-15"/>
          <w:sz w:val="24"/>
        </w:rPr>
        <w:t> </w:t>
      </w:r>
      <w:r>
        <w:rPr>
          <w:sz w:val="24"/>
        </w:rPr>
        <w:t>Payment terms associated with these forms of payment will be issued as net 15 after the date of invoice. Payment terms associated with settlement by check will be considered to be net 30 days. Cash discounts for prompt payment</w:t>
      </w:r>
      <w:r>
        <w:rPr>
          <w:spacing w:val="-7"/>
          <w:sz w:val="24"/>
        </w:rPr>
        <w:t> </w:t>
      </w:r>
      <w:r>
        <w:rPr>
          <w:sz w:val="24"/>
        </w:rPr>
        <w:t>may</w:t>
      </w:r>
      <w:r>
        <w:rPr>
          <w:spacing w:val="-7"/>
          <w:sz w:val="24"/>
        </w:rPr>
        <w:t> </w:t>
      </w:r>
      <w:r>
        <w:rPr>
          <w:sz w:val="24"/>
        </w:rPr>
        <w:t>be</w:t>
      </w:r>
      <w:r>
        <w:rPr>
          <w:spacing w:val="-7"/>
          <w:sz w:val="24"/>
        </w:rPr>
        <w:t> </w:t>
      </w:r>
      <w:r>
        <w:rPr>
          <w:sz w:val="24"/>
        </w:rPr>
        <w:t>offered</w:t>
      </w:r>
      <w:r>
        <w:rPr>
          <w:spacing w:val="-4"/>
          <w:sz w:val="24"/>
        </w:rPr>
        <w:t> </w:t>
      </w:r>
      <w:r>
        <w:rPr>
          <w:sz w:val="24"/>
        </w:rPr>
        <w:t>but</w:t>
      </w:r>
      <w:r>
        <w:rPr>
          <w:spacing w:val="-6"/>
          <w:sz w:val="24"/>
        </w:rPr>
        <w:t> </w:t>
      </w:r>
      <w:r>
        <w:rPr>
          <w:sz w:val="24"/>
        </w:rPr>
        <w:t>they</w:t>
      </w:r>
      <w:r>
        <w:rPr>
          <w:spacing w:val="-8"/>
          <w:sz w:val="24"/>
        </w:rPr>
        <w:t> </w:t>
      </w:r>
      <w:r>
        <w:rPr>
          <w:sz w:val="24"/>
        </w:rPr>
        <w:t>will</w:t>
      </w:r>
      <w:r>
        <w:rPr>
          <w:spacing w:val="-7"/>
          <w:sz w:val="24"/>
        </w:rPr>
        <w:t> </w:t>
      </w:r>
      <w:r>
        <w:rPr>
          <w:sz w:val="24"/>
        </w:rPr>
        <w:t>not</w:t>
      </w:r>
      <w:r>
        <w:rPr>
          <w:spacing w:val="-9"/>
          <w:sz w:val="24"/>
        </w:rPr>
        <w:t> </w:t>
      </w:r>
      <w:r>
        <w:rPr>
          <w:sz w:val="24"/>
        </w:rPr>
        <w:t>be</w:t>
      </w:r>
      <w:r>
        <w:rPr>
          <w:spacing w:val="-7"/>
          <w:sz w:val="24"/>
        </w:rPr>
        <w:t> </w:t>
      </w:r>
      <w:r>
        <w:rPr>
          <w:sz w:val="24"/>
        </w:rPr>
        <w:t>considered</w:t>
      </w:r>
      <w:r>
        <w:rPr>
          <w:spacing w:val="-6"/>
          <w:sz w:val="24"/>
        </w:rPr>
        <w:t> </w:t>
      </w:r>
      <w:r>
        <w:rPr>
          <w:sz w:val="24"/>
        </w:rPr>
        <w:t>in</w:t>
      </w:r>
      <w:r>
        <w:rPr>
          <w:spacing w:val="-6"/>
          <w:sz w:val="24"/>
        </w:rPr>
        <w:t> </w:t>
      </w:r>
      <w:r>
        <w:rPr>
          <w:sz w:val="24"/>
        </w:rPr>
        <w:t>determination</w:t>
      </w:r>
      <w:r>
        <w:rPr>
          <w:spacing w:val="-6"/>
          <w:sz w:val="24"/>
        </w:rPr>
        <w:t> </w:t>
      </w:r>
      <w:r>
        <w:rPr>
          <w:sz w:val="24"/>
        </w:rPr>
        <w:t>of</w:t>
      </w:r>
      <w:r>
        <w:rPr>
          <w:spacing w:val="-7"/>
          <w:sz w:val="24"/>
        </w:rPr>
        <w:t> </w:t>
      </w:r>
      <w:r>
        <w:rPr>
          <w:sz w:val="24"/>
        </w:rPr>
        <w:t>award</w:t>
      </w:r>
      <w:r>
        <w:rPr>
          <w:spacing w:val="-6"/>
          <w:sz w:val="24"/>
        </w:rPr>
        <w:t> </w:t>
      </w:r>
      <w:r>
        <w:rPr>
          <w:sz w:val="24"/>
        </w:rPr>
        <w:t>unless</w:t>
      </w:r>
      <w:r>
        <w:rPr>
          <w:spacing w:val="-5"/>
          <w:sz w:val="24"/>
        </w:rPr>
        <w:t> </w:t>
      </w:r>
      <w:r>
        <w:rPr>
          <w:sz w:val="24"/>
        </w:rPr>
        <w:t>specifically</w:t>
      </w:r>
      <w:r>
        <w:rPr>
          <w:spacing w:val="-7"/>
          <w:sz w:val="24"/>
        </w:rPr>
        <w:t> </w:t>
      </w:r>
      <w:r>
        <w:rPr>
          <w:sz w:val="24"/>
        </w:rPr>
        <w:t>stated in the Detailed Specifications and Special Conditions. The University may withhold payment or make such deductions</w:t>
      </w:r>
      <w:r>
        <w:rPr>
          <w:spacing w:val="-8"/>
          <w:sz w:val="24"/>
        </w:rPr>
        <w:t> </w:t>
      </w:r>
      <w:r>
        <w:rPr>
          <w:sz w:val="24"/>
        </w:rPr>
        <w:t>as</w:t>
      </w:r>
      <w:r>
        <w:rPr>
          <w:spacing w:val="-7"/>
          <w:sz w:val="24"/>
        </w:rPr>
        <w:t> </w:t>
      </w:r>
      <w:r>
        <w:rPr>
          <w:sz w:val="24"/>
        </w:rPr>
        <w:t>may</w:t>
      </w:r>
      <w:r>
        <w:rPr>
          <w:spacing w:val="-9"/>
          <w:sz w:val="24"/>
        </w:rPr>
        <w:t> </w:t>
      </w:r>
      <w:r>
        <w:rPr>
          <w:sz w:val="24"/>
        </w:rPr>
        <w:t>be</w:t>
      </w:r>
      <w:r>
        <w:rPr>
          <w:spacing w:val="-10"/>
          <w:sz w:val="24"/>
        </w:rPr>
        <w:t> </w:t>
      </w:r>
      <w:r>
        <w:rPr>
          <w:sz w:val="24"/>
        </w:rPr>
        <w:t>necessary</w:t>
      </w:r>
      <w:r>
        <w:rPr>
          <w:spacing w:val="-9"/>
          <w:sz w:val="24"/>
        </w:rPr>
        <w:t> </w:t>
      </w:r>
      <w:r>
        <w:rPr>
          <w:sz w:val="24"/>
        </w:rPr>
        <w:t>to</w:t>
      </w:r>
      <w:r>
        <w:rPr>
          <w:spacing w:val="-9"/>
          <w:sz w:val="24"/>
        </w:rPr>
        <w:t> </w:t>
      </w:r>
      <w:r>
        <w:rPr>
          <w:sz w:val="24"/>
        </w:rPr>
        <w:t>protect</w:t>
      </w:r>
      <w:r>
        <w:rPr>
          <w:spacing w:val="-8"/>
          <w:sz w:val="24"/>
        </w:rPr>
        <w:t> </w:t>
      </w:r>
      <w:r>
        <w:rPr>
          <w:sz w:val="24"/>
        </w:rPr>
        <w:t>the</w:t>
      </w:r>
      <w:r>
        <w:rPr>
          <w:spacing w:val="-8"/>
          <w:sz w:val="24"/>
        </w:rPr>
        <w:t> </w:t>
      </w:r>
      <w:r>
        <w:rPr>
          <w:sz w:val="24"/>
        </w:rPr>
        <w:t>University</w:t>
      </w:r>
      <w:r>
        <w:rPr>
          <w:spacing w:val="-8"/>
          <w:sz w:val="24"/>
        </w:rPr>
        <w:t> </w:t>
      </w:r>
      <w:r>
        <w:rPr>
          <w:sz w:val="24"/>
        </w:rPr>
        <w:t>from</w:t>
      </w:r>
      <w:r>
        <w:rPr>
          <w:spacing w:val="-9"/>
          <w:sz w:val="24"/>
        </w:rPr>
        <w:t> </w:t>
      </w:r>
      <w:r>
        <w:rPr>
          <w:sz w:val="24"/>
        </w:rPr>
        <w:t>loss</w:t>
      </w:r>
      <w:r>
        <w:rPr>
          <w:spacing w:val="-8"/>
          <w:sz w:val="24"/>
        </w:rPr>
        <w:t> </w:t>
      </w:r>
      <w:r>
        <w:rPr>
          <w:sz w:val="24"/>
        </w:rPr>
        <w:t>or</w:t>
      </w:r>
      <w:r>
        <w:rPr>
          <w:spacing w:val="-10"/>
          <w:sz w:val="24"/>
        </w:rPr>
        <w:t> </w:t>
      </w:r>
      <w:r>
        <w:rPr>
          <w:sz w:val="24"/>
        </w:rPr>
        <w:t>damage</w:t>
      </w:r>
      <w:r>
        <w:rPr>
          <w:spacing w:val="-10"/>
          <w:sz w:val="24"/>
        </w:rPr>
        <w:t> </w:t>
      </w:r>
      <w:r>
        <w:rPr>
          <w:sz w:val="24"/>
        </w:rPr>
        <w:t>on</w:t>
      </w:r>
      <w:r>
        <w:rPr>
          <w:spacing w:val="-8"/>
          <w:sz w:val="24"/>
        </w:rPr>
        <w:t> </w:t>
      </w:r>
      <w:r>
        <w:rPr>
          <w:sz w:val="24"/>
        </w:rPr>
        <w:t>account</w:t>
      </w:r>
      <w:r>
        <w:rPr>
          <w:spacing w:val="-9"/>
          <w:sz w:val="24"/>
        </w:rPr>
        <w:t> </w:t>
      </w:r>
      <w:r>
        <w:rPr>
          <w:sz w:val="24"/>
        </w:rPr>
        <w:t>of</w:t>
      </w:r>
      <w:r>
        <w:rPr>
          <w:spacing w:val="-9"/>
          <w:sz w:val="24"/>
        </w:rPr>
        <w:t> </w:t>
      </w:r>
      <w:r>
        <w:rPr>
          <w:sz w:val="24"/>
        </w:rPr>
        <w:t>defective</w:t>
      </w:r>
      <w:r>
        <w:rPr>
          <w:spacing w:val="-10"/>
          <w:sz w:val="24"/>
        </w:rPr>
        <w:t> </w:t>
      </w:r>
      <w:r>
        <w:rPr>
          <w:sz w:val="24"/>
        </w:rPr>
        <w:t>work, claims, damages, or to pay for repair or correction of equipment or supplies furnished hereunder. Payment may not be made until satisfactory delivery and acceptance by the University and receipt of correct invoice have</w:t>
      </w:r>
      <w:r>
        <w:rPr>
          <w:spacing w:val="-2"/>
          <w:sz w:val="24"/>
        </w:rPr>
        <w:t> </w:t>
      </w:r>
      <w:r>
        <w:rPr>
          <w:sz w:val="24"/>
        </w:rPr>
        <w:t>occurred.</w:t>
      </w:r>
    </w:p>
    <w:p>
      <w:pPr>
        <w:pStyle w:val="BodyText"/>
        <w:spacing w:before="10"/>
        <w:rPr>
          <w:sz w:val="19"/>
        </w:rPr>
      </w:pPr>
    </w:p>
    <w:p>
      <w:pPr>
        <w:pStyle w:val="ListParagraph"/>
        <w:numPr>
          <w:ilvl w:val="1"/>
          <w:numId w:val="1"/>
        </w:numPr>
        <w:tabs>
          <w:tab w:pos="572" w:val="left" w:leader="none"/>
        </w:tabs>
        <w:spacing w:line="204" w:lineRule="auto" w:before="0" w:after="0"/>
        <w:ind w:left="571" w:right="218" w:hanging="360"/>
        <w:jc w:val="both"/>
        <w:rPr>
          <w:sz w:val="24"/>
        </w:rPr>
      </w:pPr>
      <w:r>
        <w:rPr>
          <w:sz w:val="24"/>
        </w:rPr>
        <w:t>Accounting Practices: The Contractor shall maintain, during the term of the contract, all books of account, reports, and records in accordance with generally accepted accounting practices and standard for records directly related to this contract. The Contractor agrees to make available to the University, during normal business hours, all books of account, reports and records relating to this contract for the duration of the contract and retain them for a minimum period of one (1) year beyond the last day of the contract</w:t>
      </w:r>
      <w:r>
        <w:rPr>
          <w:spacing w:val="-32"/>
          <w:sz w:val="24"/>
        </w:rPr>
        <w:t> </w:t>
      </w:r>
      <w:r>
        <w:rPr>
          <w:sz w:val="24"/>
        </w:rPr>
        <w:t>term.</w:t>
      </w:r>
    </w:p>
    <w:p>
      <w:pPr>
        <w:pStyle w:val="BodyText"/>
      </w:pPr>
    </w:p>
    <w:p>
      <w:pPr>
        <w:pStyle w:val="BodyText"/>
        <w:spacing w:before="3"/>
        <w:rPr>
          <w:sz w:val="16"/>
        </w:rPr>
      </w:pPr>
    </w:p>
    <w:p>
      <w:pPr>
        <w:pStyle w:val="ListParagraph"/>
        <w:numPr>
          <w:ilvl w:val="1"/>
          <w:numId w:val="1"/>
        </w:numPr>
        <w:tabs>
          <w:tab w:pos="677" w:val="left" w:leader="none"/>
        </w:tabs>
        <w:spacing w:line="204" w:lineRule="auto" w:before="0" w:after="0"/>
        <w:ind w:left="571" w:right="455" w:hanging="360"/>
        <w:jc w:val="left"/>
        <w:rPr>
          <w:sz w:val="24"/>
        </w:rPr>
      </w:pPr>
      <w:r>
        <w:rPr/>
        <w:tab/>
      </w:r>
      <w:r>
        <w:rPr>
          <w:spacing w:val="-3"/>
          <w:sz w:val="24"/>
        </w:rPr>
        <w:t>Debarment</w:t>
      </w:r>
      <w:r>
        <w:rPr>
          <w:spacing w:val="-8"/>
          <w:sz w:val="24"/>
        </w:rPr>
        <w:t> </w:t>
      </w:r>
      <w:r>
        <w:rPr>
          <w:sz w:val="24"/>
        </w:rPr>
        <w:t>and</w:t>
      </w:r>
      <w:r>
        <w:rPr>
          <w:spacing w:val="-7"/>
          <w:sz w:val="24"/>
        </w:rPr>
        <w:t> </w:t>
      </w:r>
      <w:r>
        <w:rPr>
          <w:sz w:val="24"/>
        </w:rPr>
        <w:t>Suspension</w:t>
      </w:r>
      <w:r>
        <w:rPr>
          <w:spacing w:val="-9"/>
          <w:sz w:val="24"/>
        </w:rPr>
        <w:t> </w:t>
      </w:r>
      <w:r>
        <w:rPr>
          <w:sz w:val="24"/>
        </w:rPr>
        <w:t>Certification</w:t>
      </w:r>
      <w:r>
        <w:rPr>
          <w:spacing w:val="-7"/>
          <w:sz w:val="24"/>
        </w:rPr>
        <w:t> </w:t>
      </w:r>
      <w:r>
        <w:rPr>
          <w:sz w:val="24"/>
        </w:rPr>
        <w:t>-</w:t>
      </w:r>
      <w:r>
        <w:rPr>
          <w:spacing w:val="-3"/>
          <w:sz w:val="24"/>
        </w:rPr>
        <w:t> </w:t>
      </w:r>
      <w:r>
        <w:rPr>
          <w:sz w:val="24"/>
        </w:rPr>
        <w:t>The</w:t>
      </w:r>
      <w:r>
        <w:rPr>
          <w:spacing w:val="-5"/>
          <w:sz w:val="24"/>
        </w:rPr>
        <w:t> </w:t>
      </w:r>
      <w:r>
        <w:rPr>
          <w:sz w:val="24"/>
        </w:rPr>
        <w:t>contractor</w:t>
      </w:r>
      <w:r>
        <w:rPr>
          <w:spacing w:val="-4"/>
          <w:sz w:val="24"/>
        </w:rPr>
        <w:t> </w:t>
      </w:r>
      <w:r>
        <w:rPr>
          <w:sz w:val="24"/>
        </w:rPr>
        <w:t>certifies</w:t>
      </w:r>
      <w:r>
        <w:rPr>
          <w:spacing w:val="-3"/>
          <w:sz w:val="24"/>
        </w:rPr>
        <w:t> </w:t>
      </w:r>
      <w:r>
        <w:rPr>
          <w:sz w:val="24"/>
        </w:rPr>
        <w:t>to</w:t>
      </w:r>
      <w:r>
        <w:rPr>
          <w:spacing w:val="-4"/>
          <w:sz w:val="24"/>
        </w:rPr>
        <w:t> </w:t>
      </w:r>
      <w:r>
        <w:rPr>
          <w:sz w:val="24"/>
        </w:rPr>
        <w:t>the</w:t>
      </w:r>
      <w:r>
        <w:rPr>
          <w:spacing w:val="-4"/>
          <w:sz w:val="24"/>
        </w:rPr>
        <w:t> </w:t>
      </w:r>
      <w:r>
        <w:rPr>
          <w:sz w:val="24"/>
        </w:rPr>
        <w:t>best</w:t>
      </w:r>
      <w:r>
        <w:rPr>
          <w:spacing w:val="-3"/>
          <w:sz w:val="24"/>
        </w:rPr>
        <w:t> </w:t>
      </w:r>
      <w:r>
        <w:rPr>
          <w:sz w:val="24"/>
        </w:rPr>
        <w:t>of</w:t>
      </w:r>
      <w:r>
        <w:rPr>
          <w:spacing w:val="-3"/>
          <w:sz w:val="24"/>
        </w:rPr>
        <w:t> </w:t>
      </w:r>
      <w:r>
        <w:rPr>
          <w:sz w:val="24"/>
        </w:rPr>
        <w:t>its</w:t>
      </w:r>
      <w:r>
        <w:rPr>
          <w:spacing w:val="-5"/>
          <w:sz w:val="24"/>
        </w:rPr>
        <w:t> </w:t>
      </w:r>
      <w:r>
        <w:rPr>
          <w:sz w:val="24"/>
        </w:rPr>
        <w:t>knowledge</w:t>
      </w:r>
      <w:r>
        <w:rPr>
          <w:spacing w:val="-4"/>
          <w:sz w:val="24"/>
        </w:rPr>
        <w:t> </w:t>
      </w:r>
      <w:r>
        <w:rPr>
          <w:sz w:val="24"/>
        </w:rPr>
        <w:t>and</w:t>
      </w:r>
      <w:r>
        <w:rPr>
          <w:spacing w:val="-5"/>
          <w:sz w:val="24"/>
        </w:rPr>
        <w:t> </w:t>
      </w:r>
      <w:r>
        <w:rPr>
          <w:sz w:val="24"/>
        </w:rPr>
        <w:t>belief that it and its principals are not presently debarred, suspended, proposed for debarment, declared ineligible, or voluntarily excluded from covered transactions by any Federal department </w:t>
      </w:r>
      <w:r>
        <w:rPr>
          <w:spacing w:val="2"/>
          <w:sz w:val="24"/>
        </w:rPr>
        <w:t>or </w:t>
      </w:r>
      <w:r>
        <w:rPr>
          <w:sz w:val="24"/>
        </w:rPr>
        <w:t>agency in accordance with Executive Order 12549</w:t>
      </w:r>
      <w:r>
        <w:rPr>
          <w:spacing w:val="-4"/>
          <w:sz w:val="24"/>
        </w:rPr>
        <w:t> </w:t>
      </w:r>
      <w:r>
        <w:rPr>
          <w:sz w:val="24"/>
        </w:rPr>
        <w:t>(2/18/86)</w:t>
      </w:r>
    </w:p>
    <w:p>
      <w:pPr>
        <w:spacing w:after="0" w:line="204" w:lineRule="auto"/>
        <w:jc w:val="left"/>
        <w:rPr>
          <w:sz w:val="24"/>
        </w:rPr>
        <w:sectPr>
          <w:pgSz w:w="12240" w:h="15840"/>
          <w:pgMar w:header="0" w:footer="894" w:top="680" w:bottom="1120" w:left="600" w:right="500"/>
        </w:sectPr>
      </w:pPr>
    </w:p>
    <w:p>
      <w:pPr>
        <w:pStyle w:val="BodyText"/>
        <w:spacing w:line="332" w:lineRule="exact"/>
        <w:ind w:left="3682"/>
      </w:pPr>
      <w:r>
        <w:rPr/>
        <w:t>UNIVERSITY OF MISSOURI</w:t>
      </w:r>
    </w:p>
    <w:p>
      <w:pPr>
        <w:pStyle w:val="BodyText"/>
        <w:spacing w:before="67"/>
        <w:ind w:left="1826"/>
      </w:pPr>
      <w:r>
        <w:rPr/>
        <w:t>DETAILED SPECIFICATIONS AND SPECIAL CONDITIONS, CUSTOM CASEWORK</w:t>
      </w:r>
    </w:p>
    <w:p>
      <w:pPr>
        <w:pStyle w:val="BodyText"/>
        <w:spacing w:before="13"/>
      </w:pPr>
    </w:p>
    <w:p>
      <w:pPr>
        <w:pStyle w:val="ListParagraph"/>
        <w:numPr>
          <w:ilvl w:val="2"/>
          <w:numId w:val="1"/>
        </w:numPr>
        <w:tabs>
          <w:tab w:pos="841" w:val="left" w:leader="none"/>
        </w:tabs>
        <w:spacing w:line="240" w:lineRule="auto" w:before="1" w:after="0"/>
        <w:ind w:left="840" w:right="0" w:hanging="360"/>
        <w:jc w:val="left"/>
        <w:rPr>
          <w:sz w:val="24"/>
        </w:rPr>
      </w:pPr>
      <w:r>
        <w:rPr>
          <w:sz w:val="24"/>
        </w:rPr>
        <w:t>Introduction</w:t>
      </w:r>
    </w:p>
    <w:p>
      <w:pPr>
        <w:pStyle w:val="BodyText"/>
        <w:spacing w:line="204" w:lineRule="auto" w:before="109"/>
        <w:ind w:left="840" w:right="219"/>
        <w:jc w:val="both"/>
      </w:pPr>
      <w:r>
        <w:rPr/>
        <w:t>The Curators of the University of Missouri, a public organization, purpose to contract on behalf of the University of Missouri System (referred to as “University”) with an organization (referred to as “Contractor”) CUSTOM CASEWORK; as described herein.</w:t>
      </w:r>
    </w:p>
    <w:p>
      <w:pPr>
        <w:pStyle w:val="BodyText"/>
      </w:pPr>
    </w:p>
    <w:p>
      <w:pPr>
        <w:pStyle w:val="BodyText"/>
        <w:spacing w:line="204" w:lineRule="auto" w:before="185"/>
        <w:ind w:left="840" w:right="215"/>
        <w:jc w:val="both"/>
      </w:pPr>
      <w:r>
        <w:rPr/>
        <w:t>Attached</w:t>
      </w:r>
      <w:r>
        <w:rPr>
          <w:spacing w:val="-9"/>
        </w:rPr>
        <w:t> </w:t>
      </w:r>
      <w:r>
        <w:rPr/>
        <w:t>hereto</w:t>
      </w:r>
      <w:r>
        <w:rPr>
          <w:spacing w:val="-8"/>
        </w:rPr>
        <w:t> </w:t>
      </w:r>
      <w:r>
        <w:rPr/>
        <w:t>is</w:t>
      </w:r>
      <w:r>
        <w:rPr>
          <w:spacing w:val="-7"/>
        </w:rPr>
        <w:t> </w:t>
      </w:r>
      <w:r>
        <w:rPr/>
        <w:t>a</w:t>
      </w:r>
      <w:r>
        <w:rPr>
          <w:spacing w:val="-9"/>
        </w:rPr>
        <w:t> </w:t>
      </w:r>
      <w:r>
        <w:rPr/>
        <w:t>Form</w:t>
      </w:r>
      <w:r>
        <w:rPr>
          <w:spacing w:val="-8"/>
        </w:rPr>
        <w:t> </w:t>
      </w:r>
      <w:r>
        <w:rPr/>
        <w:t>of</w:t>
      </w:r>
      <w:r>
        <w:rPr>
          <w:spacing w:val="-8"/>
        </w:rPr>
        <w:t> </w:t>
      </w:r>
      <w:r>
        <w:rPr/>
        <w:t>Proposal</w:t>
      </w:r>
      <w:r>
        <w:rPr>
          <w:spacing w:val="-9"/>
        </w:rPr>
        <w:t> </w:t>
      </w:r>
      <w:r>
        <w:rPr/>
        <w:t>to</w:t>
      </w:r>
      <w:r>
        <w:rPr>
          <w:spacing w:val="-8"/>
        </w:rPr>
        <w:t> </w:t>
      </w:r>
      <w:r>
        <w:rPr/>
        <w:t>be</w:t>
      </w:r>
      <w:r>
        <w:rPr>
          <w:spacing w:val="-9"/>
        </w:rPr>
        <w:t> </w:t>
      </w:r>
      <w:r>
        <w:rPr/>
        <w:t>used</w:t>
      </w:r>
      <w:r>
        <w:rPr>
          <w:spacing w:val="-9"/>
        </w:rPr>
        <w:t> </w:t>
      </w:r>
      <w:r>
        <w:rPr/>
        <w:t>for</w:t>
      </w:r>
      <w:r>
        <w:rPr>
          <w:spacing w:val="-9"/>
        </w:rPr>
        <w:t> </w:t>
      </w:r>
      <w:r>
        <w:rPr/>
        <w:t>the</w:t>
      </w:r>
      <w:r>
        <w:rPr>
          <w:spacing w:val="-8"/>
        </w:rPr>
        <w:t> </w:t>
      </w:r>
      <w:r>
        <w:rPr/>
        <w:t>submission</w:t>
      </w:r>
      <w:r>
        <w:rPr>
          <w:spacing w:val="-8"/>
        </w:rPr>
        <w:t> </w:t>
      </w:r>
      <w:r>
        <w:rPr/>
        <w:t>of</w:t>
      </w:r>
      <w:r>
        <w:rPr>
          <w:spacing w:val="-9"/>
        </w:rPr>
        <w:t> </w:t>
      </w:r>
      <w:r>
        <w:rPr/>
        <w:t>information</w:t>
      </w:r>
      <w:r>
        <w:rPr>
          <w:spacing w:val="-8"/>
        </w:rPr>
        <w:t> </w:t>
      </w:r>
      <w:r>
        <w:rPr/>
        <w:t>requested</w:t>
      </w:r>
      <w:r>
        <w:rPr>
          <w:spacing w:val="-8"/>
        </w:rPr>
        <w:t> </w:t>
      </w:r>
      <w:r>
        <w:rPr/>
        <w:t>herein.</w:t>
      </w:r>
      <w:r>
        <w:rPr>
          <w:spacing w:val="-10"/>
        </w:rPr>
        <w:t> </w:t>
      </w:r>
      <w:r>
        <w:rPr/>
        <w:t>The Form</w:t>
      </w:r>
      <w:r>
        <w:rPr>
          <w:spacing w:val="-10"/>
        </w:rPr>
        <w:t> </w:t>
      </w:r>
      <w:r>
        <w:rPr/>
        <w:t>of</w:t>
      </w:r>
      <w:r>
        <w:rPr>
          <w:spacing w:val="-9"/>
        </w:rPr>
        <w:t> </w:t>
      </w:r>
      <w:r>
        <w:rPr/>
        <w:t>Proposal</w:t>
      </w:r>
      <w:r>
        <w:rPr>
          <w:spacing w:val="-9"/>
        </w:rPr>
        <w:t> </w:t>
      </w:r>
      <w:r>
        <w:rPr/>
        <w:t>must</w:t>
      </w:r>
      <w:r>
        <w:rPr>
          <w:spacing w:val="-8"/>
        </w:rPr>
        <w:t> </w:t>
      </w:r>
      <w:r>
        <w:rPr/>
        <w:t>be</w:t>
      </w:r>
      <w:r>
        <w:rPr>
          <w:spacing w:val="-10"/>
        </w:rPr>
        <w:t> </w:t>
      </w:r>
      <w:r>
        <w:rPr/>
        <w:t>sealed</w:t>
      </w:r>
      <w:r>
        <w:rPr>
          <w:spacing w:val="-9"/>
        </w:rPr>
        <w:t> </w:t>
      </w:r>
      <w:r>
        <w:rPr/>
        <w:t>and</w:t>
      </w:r>
      <w:r>
        <w:rPr>
          <w:spacing w:val="-9"/>
        </w:rPr>
        <w:t> </w:t>
      </w:r>
      <w:r>
        <w:rPr/>
        <w:t>clearly</w:t>
      </w:r>
      <w:r>
        <w:rPr>
          <w:spacing w:val="-9"/>
        </w:rPr>
        <w:t> </w:t>
      </w:r>
      <w:r>
        <w:rPr/>
        <w:t>addressed</w:t>
      </w:r>
      <w:r>
        <w:rPr>
          <w:spacing w:val="-9"/>
        </w:rPr>
        <w:t> </w:t>
      </w:r>
      <w:r>
        <w:rPr/>
        <w:t>to</w:t>
      </w:r>
      <w:r>
        <w:rPr>
          <w:spacing w:val="-9"/>
        </w:rPr>
        <w:t> </w:t>
      </w:r>
      <w:r>
        <w:rPr/>
        <w:t>the</w:t>
      </w:r>
      <w:r>
        <w:rPr>
          <w:spacing w:val="-12"/>
        </w:rPr>
        <w:t> </w:t>
      </w:r>
      <w:r>
        <w:rPr/>
        <w:t>University</w:t>
      </w:r>
      <w:r>
        <w:rPr>
          <w:spacing w:val="-8"/>
        </w:rPr>
        <w:t> </w:t>
      </w:r>
      <w:r>
        <w:rPr/>
        <w:t>of</w:t>
      </w:r>
      <w:r>
        <w:rPr>
          <w:spacing w:val="-9"/>
        </w:rPr>
        <w:t> </w:t>
      </w:r>
      <w:r>
        <w:rPr/>
        <w:t>Missouri</w:t>
      </w:r>
      <w:r>
        <w:rPr>
          <w:spacing w:val="-9"/>
        </w:rPr>
        <w:t> </w:t>
      </w:r>
      <w:r>
        <w:rPr/>
        <w:t>System</w:t>
      </w:r>
      <w:r>
        <w:rPr>
          <w:spacing w:val="-9"/>
        </w:rPr>
        <w:t> </w:t>
      </w:r>
      <w:r>
        <w:rPr/>
        <w:t>Supply</w:t>
      </w:r>
      <w:r>
        <w:rPr>
          <w:spacing w:val="-11"/>
        </w:rPr>
        <w:t> </w:t>
      </w:r>
      <w:r>
        <w:rPr/>
        <w:t>Chain, 2910</w:t>
      </w:r>
      <w:r>
        <w:rPr>
          <w:spacing w:val="-12"/>
        </w:rPr>
        <w:t> </w:t>
      </w:r>
      <w:r>
        <w:rPr/>
        <w:t>Lemone</w:t>
      </w:r>
      <w:r>
        <w:rPr>
          <w:spacing w:val="-12"/>
        </w:rPr>
        <w:t> </w:t>
      </w:r>
      <w:r>
        <w:rPr/>
        <w:t>Industrial</w:t>
      </w:r>
      <w:r>
        <w:rPr>
          <w:spacing w:val="-11"/>
        </w:rPr>
        <w:t> </w:t>
      </w:r>
      <w:r>
        <w:rPr/>
        <w:t>Blvd.,</w:t>
      </w:r>
      <w:r>
        <w:rPr>
          <w:spacing w:val="-12"/>
        </w:rPr>
        <w:t> </w:t>
      </w:r>
      <w:r>
        <w:rPr/>
        <w:t>Columbia,</w:t>
      </w:r>
      <w:r>
        <w:rPr>
          <w:spacing w:val="-12"/>
        </w:rPr>
        <w:t> </w:t>
      </w:r>
      <w:r>
        <w:rPr/>
        <w:t>Missouri</w:t>
      </w:r>
      <w:r>
        <w:rPr>
          <w:spacing w:val="-10"/>
        </w:rPr>
        <w:t> </w:t>
      </w:r>
      <w:r>
        <w:rPr/>
        <w:t>65201.</w:t>
      </w:r>
      <w:r>
        <w:rPr>
          <w:spacing w:val="-11"/>
        </w:rPr>
        <w:t> </w:t>
      </w:r>
      <w:r>
        <w:rPr/>
        <w:t>With</w:t>
      </w:r>
      <w:r>
        <w:rPr>
          <w:spacing w:val="-11"/>
        </w:rPr>
        <w:t> </w:t>
      </w:r>
      <w:r>
        <w:rPr/>
        <w:t>a</w:t>
      </w:r>
      <w:r>
        <w:rPr>
          <w:spacing w:val="-10"/>
        </w:rPr>
        <w:t> </w:t>
      </w:r>
      <w:r>
        <w:rPr/>
        <w:t>notation</w:t>
      </w:r>
      <w:r>
        <w:rPr>
          <w:spacing w:val="-10"/>
        </w:rPr>
        <w:t> </w:t>
      </w:r>
      <w:r>
        <w:rPr/>
        <w:t>on</w:t>
      </w:r>
      <w:r>
        <w:rPr>
          <w:spacing w:val="-14"/>
        </w:rPr>
        <w:t> </w:t>
      </w:r>
      <w:r>
        <w:rPr/>
        <w:t>the</w:t>
      </w:r>
      <w:r>
        <w:rPr>
          <w:spacing w:val="-11"/>
        </w:rPr>
        <w:t> </w:t>
      </w:r>
      <w:r>
        <w:rPr/>
        <w:t>sealed</w:t>
      </w:r>
      <w:r>
        <w:rPr>
          <w:spacing w:val="-10"/>
        </w:rPr>
        <w:t> </w:t>
      </w:r>
      <w:r>
        <w:rPr/>
        <w:t>envelope</w:t>
      </w:r>
      <w:r>
        <w:rPr>
          <w:spacing w:val="-12"/>
        </w:rPr>
        <w:t> </w:t>
      </w:r>
      <w:r>
        <w:rPr/>
        <w:t>showing the contents to be a proposal for CUSTOM CASEWORK RFP#: 16 9007 DH C and received no later than, April 1, 2016 at 2:00 p.m.</w:t>
      </w:r>
      <w:r>
        <w:rPr>
          <w:spacing w:val="-4"/>
        </w:rPr>
        <w:t> </w:t>
      </w:r>
      <w:r>
        <w:rPr/>
        <w:t>CT.</w:t>
      </w:r>
    </w:p>
    <w:p>
      <w:pPr>
        <w:pStyle w:val="BodyText"/>
      </w:pPr>
    </w:p>
    <w:p>
      <w:pPr>
        <w:pStyle w:val="BodyText"/>
        <w:spacing w:line="204" w:lineRule="auto" w:before="182"/>
        <w:ind w:left="840" w:right="222"/>
        <w:jc w:val="both"/>
      </w:pPr>
      <w:r>
        <w:rPr/>
        <w:t>All proposal must submitted, in 2 hard copies, and 1 electronic copy (CD, thumb drive, or flash drive) is the only acceptable form of electronic copy. All pricing solutions must be submitted in a separate from the proposal solution. Questions must be submitted on or before March 24, 2016 5:00 p.m.</w:t>
      </w:r>
    </w:p>
    <w:p>
      <w:pPr>
        <w:pStyle w:val="BodyText"/>
        <w:spacing w:before="11"/>
        <w:rPr>
          <w:sz w:val="33"/>
        </w:rPr>
      </w:pPr>
    </w:p>
    <w:p>
      <w:pPr>
        <w:pStyle w:val="ListParagraph"/>
        <w:numPr>
          <w:ilvl w:val="2"/>
          <w:numId w:val="1"/>
        </w:numPr>
        <w:tabs>
          <w:tab w:pos="841" w:val="left" w:leader="none"/>
        </w:tabs>
        <w:spacing w:line="240" w:lineRule="auto" w:before="0" w:after="0"/>
        <w:ind w:left="840" w:right="0" w:hanging="360"/>
        <w:jc w:val="left"/>
        <w:rPr>
          <w:sz w:val="24"/>
        </w:rPr>
      </w:pPr>
      <w:r>
        <w:rPr>
          <w:sz w:val="24"/>
        </w:rPr>
        <w:t>Objective</w:t>
      </w:r>
    </w:p>
    <w:p>
      <w:pPr>
        <w:pStyle w:val="BodyText"/>
        <w:spacing w:line="204" w:lineRule="auto" w:before="109"/>
        <w:ind w:left="840" w:right="439"/>
      </w:pPr>
      <w:r>
        <w:rPr/>
        <w:t>The University of Missouri –Columbia is seeking proposals to select one or more preferred contractors for the fabrication and installation of various (installed or freestanding) casework throughout the coming year. Contractors must provide commercial grade, custom wood casework, epoxy resin and/or high-pressure compact laminate countertops and related accessories for the University of Missouri.</w:t>
      </w:r>
    </w:p>
    <w:p>
      <w:pPr>
        <w:pStyle w:val="BodyText"/>
        <w:spacing w:before="2"/>
        <w:rPr>
          <w:sz w:val="20"/>
        </w:rPr>
      </w:pPr>
    </w:p>
    <w:p>
      <w:pPr>
        <w:pStyle w:val="BodyText"/>
        <w:spacing w:line="204" w:lineRule="auto"/>
        <w:ind w:left="840" w:right="339"/>
      </w:pPr>
      <w:r>
        <w:rPr/>
        <w:t>It is understood that providing a response for consideration to the University that there are no guarantees for projects now, no guarantee that an order will be placed. We have projections but they are subject to budget and approvals at a later date. We seek qualifications and skills to determine our preferred contractor listing.</w:t>
      </w:r>
    </w:p>
    <w:p>
      <w:pPr>
        <w:pStyle w:val="BodyText"/>
        <w:spacing w:before="14"/>
        <w:rPr>
          <w:sz w:val="19"/>
        </w:rPr>
      </w:pPr>
    </w:p>
    <w:p>
      <w:pPr>
        <w:pStyle w:val="BodyText"/>
        <w:spacing w:line="204" w:lineRule="auto"/>
        <w:ind w:left="840" w:right="250"/>
      </w:pPr>
      <w:r>
        <w:rPr/>
        <w:t>In addition, we seek contractors ready to enter into a contract with this award so that the specific work will be facilitated and only subject to a quote with a contract already in place. Projects will be limited under this contract. We do not anticipate a project to exceed two-hundred and fifty thousand dollars.</w:t>
      </w:r>
    </w:p>
    <w:p>
      <w:pPr>
        <w:pStyle w:val="BodyText"/>
        <w:spacing w:before="6"/>
        <w:rPr>
          <w:sz w:val="25"/>
        </w:rPr>
      </w:pPr>
    </w:p>
    <w:p>
      <w:pPr>
        <w:pStyle w:val="ListParagraph"/>
        <w:numPr>
          <w:ilvl w:val="2"/>
          <w:numId w:val="1"/>
        </w:numPr>
        <w:tabs>
          <w:tab w:pos="841" w:val="left" w:leader="none"/>
        </w:tabs>
        <w:spacing w:line="240" w:lineRule="auto" w:before="1" w:after="0"/>
        <w:ind w:left="840" w:right="0" w:hanging="360"/>
        <w:jc w:val="left"/>
        <w:rPr>
          <w:sz w:val="24"/>
        </w:rPr>
      </w:pPr>
      <w:r>
        <w:rPr>
          <w:spacing w:val="-3"/>
          <w:sz w:val="24"/>
        </w:rPr>
        <w:t>Contract</w:t>
      </w:r>
      <w:r>
        <w:rPr>
          <w:spacing w:val="10"/>
          <w:sz w:val="24"/>
        </w:rPr>
        <w:t> </w:t>
      </w:r>
      <w:r>
        <w:rPr>
          <w:spacing w:val="-3"/>
          <w:sz w:val="24"/>
        </w:rPr>
        <w:t>Period</w:t>
      </w:r>
    </w:p>
    <w:p>
      <w:pPr>
        <w:pStyle w:val="BodyText"/>
        <w:spacing w:line="204" w:lineRule="auto" w:before="109"/>
        <w:ind w:left="840" w:right="218"/>
        <w:jc w:val="both"/>
      </w:pPr>
      <w:r>
        <w:rPr/>
        <w:t>The</w:t>
      </w:r>
      <w:r>
        <w:rPr>
          <w:spacing w:val="-8"/>
        </w:rPr>
        <w:t> </w:t>
      </w:r>
      <w:r>
        <w:rPr/>
        <w:t>contract</w:t>
      </w:r>
      <w:r>
        <w:rPr>
          <w:spacing w:val="-8"/>
        </w:rPr>
        <w:t> </w:t>
      </w:r>
      <w:r>
        <w:rPr/>
        <w:t>period</w:t>
      </w:r>
      <w:r>
        <w:rPr>
          <w:spacing w:val="-7"/>
        </w:rPr>
        <w:t> </w:t>
      </w:r>
      <w:r>
        <w:rPr/>
        <w:t>shall</w:t>
      </w:r>
      <w:r>
        <w:rPr>
          <w:spacing w:val="-10"/>
        </w:rPr>
        <w:t> </w:t>
      </w:r>
      <w:r>
        <w:rPr/>
        <w:t>be</w:t>
      </w:r>
      <w:r>
        <w:rPr>
          <w:spacing w:val="-7"/>
        </w:rPr>
        <w:t> </w:t>
      </w:r>
      <w:r>
        <w:rPr/>
        <w:t>mutually</w:t>
      </w:r>
      <w:r>
        <w:rPr>
          <w:spacing w:val="-7"/>
        </w:rPr>
        <w:t> </w:t>
      </w:r>
      <w:r>
        <w:rPr/>
        <w:t>agreed</w:t>
      </w:r>
      <w:r>
        <w:rPr>
          <w:spacing w:val="-7"/>
        </w:rPr>
        <w:t> </w:t>
      </w:r>
      <w:r>
        <w:rPr/>
        <w:t>upon</w:t>
      </w:r>
      <w:r>
        <w:rPr>
          <w:spacing w:val="-11"/>
        </w:rPr>
        <w:t> </w:t>
      </w:r>
      <w:r>
        <w:rPr/>
        <w:t>between</w:t>
      </w:r>
      <w:r>
        <w:rPr>
          <w:spacing w:val="-6"/>
        </w:rPr>
        <w:t> </w:t>
      </w:r>
      <w:r>
        <w:rPr/>
        <w:t>the</w:t>
      </w:r>
      <w:r>
        <w:rPr>
          <w:spacing w:val="-8"/>
        </w:rPr>
        <w:t> </w:t>
      </w:r>
      <w:r>
        <w:rPr/>
        <w:t>successful</w:t>
      </w:r>
      <w:r>
        <w:rPr>
          <w:spacing w:val="-9"/>
        </w:rPr>
        <w:t> </w:t>
      </w:r>
      <w:r>
        <w:rPr/>
        <w:t>respondent</w:t>
      </w:r>
      <w:r>
        <w:rPr>
          <w:spacing w:val="-6"/>
        </w:rPr>
        <w:t> </w:t>
      </w:r>
      <w:r>
        <w:rPr/>
        <w:t>and</w:t>
      </w:r>
      <w:r>
        <w:rPr>
          <w:spacing w:val="-10"/>
        </w:rPr>
        <w:t> </w:t>
      </w:r>
      <w:r>
        <w:rPr/>
        <w:t>the</w:t>
      </w:r>
      <w:r>
        <w:rPr>
          <w:spacing w:val="-7"/>
        </w:rPr>
        <w:t> </w:t>
      </w:r>
      <w:r>
        <w:rPr/>
        <w:t>University prior to contract</w:t>
      </w:r>
      <w:r>
        <w:rPr>
          <w:spacing w:val="-1"/>
        </w:rPr>
        <w:t> </w:t>
      </w:r>
      <w:r>
        <w:rPr/>
        <w:t>award.</w:t>
      </w:r>
    </w:p>
    <w:p>
      <w:pPr>
        <w:pStyle w:val="BodyText"/>
        <w:spacing w:line="204" w:lineRule="auto" w:before="120"/>
        <w:ind w:left="840" w:right="215"/>
        <w:jc w:val="both"/>
      </w:pPr>
      <w:r>
        <w:rPr/>
        <w:t>The contract period shall be from June 1, 2016 through May 31, 2017. If mutually agreeable to by the University and the awarded vendor(s), the contract may be extended by an additional 48 months under the terms of this contract.</w:t>
      </w:r>
    </w:p>
    <w:p>
      <w:pPr>
        <w:spacing w:after="0" w:line="204" w:lineRule="auto"/>
        <w:jc w:val="both"/>
        <w:sectPr>
          <w:pgSz w:w="12240" w:h="15840"/>
          <w:pgMar w:header="0" w:footer="894" w:top="680" w:bottom="1120" w:left="600" w:right="500"/>
        </w:sectPr>
      </w:pPr>
    </w:p>
    <w:p>
      <w:pPr>
        <w:pStyle w:val="ListParagraph"/>
        <w:numPr>
          <w:ilvl w:val="2"/>
          <w:numId w:val="1"/>
        </w:numPr>
        <w:tabs>
          <w:tab w:pos="841" w:val="left" w:leader="none"/>
        </w:tabs>
        <w:spacing w:line="332" w:lineRule="exact" w:before="0" w:after="0"/>
        <w:ind w:left="840" w:right="0" w:hanging="360"/>
        <w:jc w:val="left"/>
        <w:rPr>
          <w:sz w:val="24"/>
        </w:rPr>
      </w:pPr>
      <w:r>
        <w:rPr>
          <w:sz w:val="24"/>
        </w:rPr>
        <w:t>Award of</w:t>
      </w:r>
      <w:r>
        <w:rPr>
          <w:spacing w:val="-13"/>
          <w:sz w:val="24"/>
        </w:rPr>
        <w:t> </w:t>
      </w:r>
      <w:r>
        <w:rPr>
          <w:spacing w:val="-3"/>
          <w:sz w:val="24"/>
        </w:rPr>
        <w:t>Contract</w:t>
      </w:r>
    </w:p>
    <w:p>
      <w:pPr>
        <w:pStyle w:val="BodyText"/>
        <w:spacing w:line="204" w:lineRule="auto" w:before="109"/>
        <w:ind w:left="840" w:right="141"/>
      </w:pPr>
      <w:r>
        <w:rPr/>
        <w:t>Proposals will be awarded based upon the criteria set forth in Section 8 of the Detailed Specifications and Special conditions.</w:t>
      </w:r>
    </w:p>
    <w:p>
      <w:pPr>
        <w:pStyle w:val="BodyText"/>
        <w:spacing w:before="8"/>
        <w:rPr>
          <w:sz w:val="25"/>
        </w:rPr>
      </w:pPr>
    </w:p>
    <w:p>
      <w:pPr>
        <w:pStyle w:val="ListParagraph"/>
        <w:numPr>
          <w:ilvl w:val="2"/>
          <w:numId w:val="1"/>
        </w:numPr>
        <w:tabs>
          <w:tab w:pos="841" w:val="left" w:leader="none"/>
        </w:tabs>
        <w:spacing w:line="240" w:lineRule="auto" w:before="0" w:after="0"/>
        <w:ind w:left="840" w:right="0" w:hanging="360"/>
        <w:jc w:val="left"/>
        <w:rPr>
          <w:sz w:val="24"/>
        </w:rPr>
      </w:pPr>
      <w:r>
        <w:rPr>
          <w:sz w:val="24"/>
        </w:rPr>
        <w:t>Respondent’s</w:t>
      </w:r>
      <w:r>
        <w:rPr>
          <w:spacing w:val="-5"/>
          <w:sz w:val="24"/>
        </w:rPr>
        <w:t> </w:t>
      </w:r>
      <w:r>
        <w:rPr>
          <w:spacing w:val="-3"/>
          <w:sz w:val="24"/>
        </w:rPr>
        <w:t>Proposal</w:t>
      </w:r>
    </w:p>
    <w:p>
      <w:pPr>
        <w:pStyle w:val="BodyText"/>
        <w:spacing w:before="8"/>
        <w:rPr>
          <w:sz w:val="19"/>
        </w:rPr>
      </w:pPr>
    </w:p>
    <w:p>
      <w:pPr>
        <w:pStyle w:val="BodyText"/>
        <w:spacing w:line="204" w:lineRule="auto"/>
        <w:ind w:left="840"/>
      </w:pPr>
      <w:r>
        <w:rPr/>
        <w:t>Respondents are required to fully respond with compliance statements to each of the limiting criteria. Respondents are required to fully respond with description of ability to meet (and how) desirable specifications.</w:t>
      </w:r>
    </w:p>
    <w:p>
      <w:pPr>
        <w:pStyle w:val="BodyText"/>
      </w:pPr>
    </w:p>
    <w:p>
      <w:pPr>
        <w:pStyle w:val="BodyText"/>
        <w:spacing w:line="204" w:lineRule="auto" w:before="185"/>
        <w:ind w:left="840" w:right="250"/>
      </w:pPr>
      <w:r>
        <w:rPr/>
        <w:t>Respondents must be clear and concise in responses in order to be fully credited in the evaluation. Attach and reference any relevant documentation that would ensure the evaluating committee that specifications are met. If “no response” or insufficient response to substantiate compliance is provided, the University reserves the sole right to reject vendor’s proposal from further consideration. Do not include responses that are superfluous or irrelevant to the specific question asked. These are not valuable in the volume of information the various evaluating teams must review.</w:t>
      </w:r>
    </w:p>
    <w:p>
      <w:pPr>
        <w:pStyle w:val="BodyText"/>
        <w:spacing w:before="8"/>
        <w:rPr>
          <w:sz w:val="33"/>
        </w:rPr>
      </w:pPr>
    </w:p>
    <w:p>
      <w:pPr>
        <w:pStyle w:val="BodyText"/>
        <w:ind w:left="840"/>
      </w:pPr>
      <w:r>
        <w:rPr/>
        <w:t>Multiple copies of Proposals must be submitted in the number and manner as specified below:</w:t>
      </w:r>
    </w:p>
    <w:p>
      <w:pPr>
        <w:pStyle w:val="BodyText"/>
      </w:pPr>
    </w:p>
    <w:p>
      <w:pPr>
        <w:pStyle w:val="BodyText"/>
        <w:spacing w:line="204" w:lineRule="auto" w:before="176"/>
        <w:ind w:left="840"/>
      </w:pPr>
      <w:r>
        <w:rPr/>
        <w:t>Volume I – Functional Technical Section is to be submitted with 2 (two) total copies, one original one (1) copy and one electronic file, and must contain:</w:t>
      </w:r>
    </w:p>
    <w:p>
      <w:pPr>
        <w:pStyle w:val="BodyText"/>
      </w:pPr>
    </w:p>
    <w:p>
      <w:pPr>
        <w:pStyle w:val="ListParagraph"/>
        <w:numPr>
          <w:ilvl w:val="3"/>
          <w:numId w:val="1"/>
        </w:numPr>
        <w:tabs>
          <w:tab w:pos="1560" w:val="left" w:leader="none"/>
          <w:tab w:pos="1561" w:val="left" w:leader="none"/>
        </w:tabs>
        <w:spacing w:line="201" w:lineRule="auto" w:before="201" w:after="0"/>
        <w:ind w:left="1560" w:right="364" w:hanging="360"/>
        <w:jc w:val="left"/>
        <w:rPr>
          <w:sz w:val="24"/>
        </w:rPr>
      </w:pPr>
      <w:r>
        <w:rPr>
          <w:sz w:val="24"/>
        </w:rPr>
        <w:t>Response to Instructions to Respondents and General Conditions, limiting criteria and vendor responses, and Desirable Specifications and vendor responses. If there is any vendor related contract that must be signed as part of doing business, it should also be included in this</w:t>
      </w:r>
      <w:r>
        <w:rPr>
          <w:spacing w:val="-32"/>
          <w:sz w:val="24"/>
        </w:rPr>
        <w:t> </w:t>
      </w:r>
      <w:r>
        <w:rPr>
          <w:sz w:val="24"/>
        </w:rPr>
        <w:t>section. This section includes all </w:t>
      </w:r>
      <w:r>
        <w:rPr>
          <w:spacing w:val="-3"/>
          <w:sz w:val="24"/>
        </w:rPr>
        <w:t>response information, </w:t>
      </w:r>
      <w:r>
        <w:rPr>
          <w:sz w:val="24"/>
        </w:rPr>
        <w:t>except pricing</w:t>
      </w:r>
      <w:r>
        <w:rPr>
          <w:spacing w:val="-27"/>
          <w:sz w:val="24"/>
        </w:rPr>
        <w:t> </w:t>
      </w:r>
      <w:r>
        <w:rPr>
          <w:spacing w:val="-3"/>
          <w:sz w:val="24"/>
        </w:rPr>
        <w:t>information.</w:t>
      </w:r>
    </w:p>
    <w:p>
      <w:pPr>
        <w:pStyle w:val="BodyText"/>
      </w:pPr>
    </w:p>
    <w:p>
      <w:pPr>
        <w:pStyle w:val="BodyText"/>
        <w:spacing w:line="204" w:lineRule="auto" w:before="187"/>
        <w:ind w:left="840" w:right="339"/>
      </w:pPr>
      <w:r>
        <w:rPr/>
        <w:t>Volume II - Financial Response Section must be submitted in a separately sealed envelope in duplicate (one original, one copy and one electronic file) and contain:</w:t>
      </w:r>
    </w:p>
    <w:p>
      <w:pPr>
        <w:pStyle w:val="BodyText"/>
      </w:pPr>
    </w:p>
    <w:p>
      <w:pPr>
        <w:pStyle w:val="ListParagraph"/>
        <w:numPr>
          <w:ilvl w:val="3"/>
          <w:numId w:val="1"/>
        </w:numPr>
        <w:tabs>
          <w:tab w:pos="1560" w:val="left" w:leader="none"/>
          <w:tab w:pos="1561" w:val="left" w:leader="none"/>
        </w:tabs>
        <w:spacing w:line="201" w:lineRule="auto" w:before="198" w:after="0"/>
        <w:ind w:left="1560" w:right="280" w:hanging="360"/>
        <w:jc w:val="left"/>
        <w:rPr>
          <w:sz w:val="24"/>
        </w:rPr>
      </w:pPr>
      <w:r>
        <w:rPr>
          <w:sz w:val="24"/>
        </w:rPr>
        <w:t>Proposal Form with any supplemental pricing schedules, if applicable, and Financial Summary including additional costs, if any, for Desirable Specification Compliance, functional or technical. This section should also include the MBE/WBE commitment response. Financial statements that may be required are also to be included in this</w:t>
      </w:r>
      <w:r>
        <w:rPr>
          <w:spacing w:val="-5"/>
          <w:sz w:val="24"/>
        </w:rPr>
        <w:t> </w:t>
      </w:r>
      <w:r>
        <w:rPr>
          <w:sz w:val="24"/>
        </w:rPr>
        <w:t>section.</w:t>
      </w:r>
    </w:p>
    <w:p>
      <w:pPr>
        <w:pStyle w:val="BodyText"/>
      </w:pPr>
    </w:p>
    <w:p>
      <w:pPr>
        <w:pStyle w:val="BodyText"/>
        <w:spacing w:line="204" w:lineRule="auto" w:before="190"/>
        <w:ind w:left="840"/>
      </w:pPr>
      <w:r>
        <w:rPr/>
        <w:t>Vendor </w:t>
      </w:r>
      <w:r>
        <w:rPr>
          <w:spacing w:val="-3"/>
        </w:rPr>
        <w:t>must complete </w:t>
      </w:r>
      <w:r>
        <w:rPr/>
        <w:t>and return the University </w:t>
      </w:r>
      <w:r>
        <w:rPr>
          <w:spacing w:val="-3"/>
        </w:rPr>
        <w:t>Proposal </w:t>
      </w:r>
      <w:r>
        <w:rPr/>
        <w:t>Form with </w:t>
      </w:r>
      <w:r>
        <w:rPr>
          <w:spacing w:val="-3"/>
        </w:rPr>
        <w:t>proposal response. Vendor quote </w:t>
      </w:r>
      <w:r>
        <w:rPr/>
        <w:t>sheets are not acceptable forms of bidding and </w:t>
      </w:r>
      <w:r>
        <w:rPr>
          <w:spacing w:val="-3"/>
        </w:rPr>
        <w:t>could </w:t>
      </w:r>
      <w:r>
        <w:rPr/>
        <w:t>cause rejection of </w:t>
      </w:r>
      <w:r>
        <w:rPr>
          <w:spacing w:val="-3"/>
        </w:rPr>
        <w:t>response.</w:t>
      </w:r>
    </w:p>
    <w:p>
      <w:pPr>
        <w:pStyle w:val="BodyText"/>
      </w:pPr>
    </w:p>
    <w:p>
      <w:pPr>
        <w:pStyle w:val="BodyText"/>
        <w:spacing w:line="204" w:lineRule="auto" w:before="184"/>
        <w:ind w:left="840" w:right="339"/>
      </w:pPr>
      <w:r>
        <w:rPr/>
        <w:t>In order to be considered for selection, respondents must submit a complete response to this Request for Proposals that complies with all the mandatory requirements and which follows the structure</w:t>
      </w:r>
    </w:p>
    <w:p>
      <w:pPr>
        <w:spacing w:after="0" w:line="204" w:lineRule="auto"/>
        <w:sectPr>
          <w:pgSz w:w="12240" w:h="15840"/>
          <w:pgMar w:header="0" w:footer="894" w:top="680" w:bottom="1120" w:left="600" w:right="500"/>
        </w:sectPr>
      </w:pPr>
    </w:p>
    <w:p>
      <w:pPr>
        <w:pStyle w:val="BodyText"/>
        <w:spacing w:line="204" w:lineRule="auto" w:before="28"/>
        <w:ind w:left="840" w:right="642"/>
      </w:pPr>
      <w:r>
        <w:rPr/>
        <w:t>outlined herein. Proposals shall remain open and subject to acceptance for 60 days from the date of proposal opening.</w:t>
      </w:r>
    </w:p>
    <w:p>
      <w:pPr>
        <w:pStyle w:val="BodyText"/>
        <w:spacing w:before="13"/>
        <w:rPr>
          <w:sz w:val="33"/>
        </w:rPr>
      </w:pPr>
    </w:p>
    <w:p>
      <w:pPr>
        <w:pStyle w:val="ListParagraph"/>
        <w:numPr>
          <w:ilvl w:val="2"/>
          <w:numId w:val="1"/>
        </w:numPr>
        <w:tabs>
          <w:tab w:pos="841" w:val="left" w:leader="none"/>
        </w:tabs>
        <w:spacing w:line="240" w:lineRule="auto" w:before="0" w:after="0"/>
        <w:ind w:left="840" w:right="0" w:hanging="360"/>
        <w:jc w:val="left"/>
        <w:rPr>
          <w:sz w:val="24"/>
        </w:rPr>
      </w:pPr>
      <w:r>
        <w:rPr>
          <w:sz w:val="24"/>
        </w:rPr>
        <w:t>Delivery</w:t>
      </w:r>
    </w:p>
    <w:p>
      <w:pPr>
        <w:pStyle w:val="BodyText"/>
        <w:spacing w:line="204" w:lineRule="auto" w:before="109"/>
        <w:ind w:left="840" w:right="619"/>
      </w:pPr>
      <w:r>
        <w:rPr/>
        <w:t>If applicable, all deliveries shall be FOB Destination with all freight charges thereto included and fully prepaid. The seller bears and pays the freight costs.</w:t>
      </w:r>
    </w:p>
    <w:p>
      <w:pPr>
        <w:pStyle w:val="BodyText"/>
        <w:spacing w:before="13"/>
        <w:rPr>
          <w:sz w:val="33"/>
        </w:rPr>
      </w:pPr>
    </w:p>
    <w:p>
      <w:pPr>
        <w:pStyle w:val="ListParagraph"/>
        <w:numPr>
          <w:ilvl w:val="2"/>
          <w:numId w:val="1"/>
        </w:numPr>
        <w:tabs>
          <w:tab w:pos="841" w:val="left" w:leader="none"/>
        </w:tabs>
        <w:spacing w:line="240" w:lineRule="auto" w:before="0" w:after="0"/>
        <w:ind w:left="840" w:right="0" w:hanging="360"/>
        <w:jc w:val="left"/>
        <w:rPr>
          <w:sz w:val="24"/>
        </w:rPr>
      </w:pPr>
      <w:r>
        <w:rPr>
          <w:spacing w:val="-3"/>
          <w:sz w:val="24"/>
        </w:rPr>
        <w:t>Payment</w:t>
      </w:r>
    </w:p>
    <w:p>
      <w:pPr>
        <w:pStyle w:val="BodyText"/>
        <w:spacing w:line="204" w:lineRule="auto" w:before="111"/>
        <w:ind w:left="840" w:right="217"/>
        <w:jc w:val="both"/>
      </w:pPr>
      <w:r>
        <w:rPr/>
        <w:t>All proposal to be submitted on the basis of “Preferred” settlement method is through the use of Electronic Accounts Payable solutions. Payment terms associated with these forms of payment will be issued as net 15 after the date of invoice. Payment terms associated with settlement by check will be considered to be net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w:t>
      </w:r>
    </w:p>
    <w:p>
      <w:pPr>
        <w:pStyle w:val="BodyText"/>
        <w:spacing w:before="67"/>
        <w:ind w:left="1200"/>
      </w:pPr>
      <w:r>
        <w:rPr/>
        <w:t>Payment for Services</w:t>
      </w:r>
    </w:p>
    <w:p>
      <w:pPr>
        <w:pStyle w:val="ListParagraph"/>
        <w:numPr>
          <w:ilvl w:val="3"/>
          <w:numId w:val="1"/>
        </w:numPr>
        <w:tabs>
          <w:tab w:pos="1560" w:val="left" w:leader="none"/>
          <w:tab w:pos="1561" w:val="left" w:leader="none"/>
        </w:tabs>
        <w:spacing w:line="201" w:lineRule="auto" w:before="123" w:after="0"/>
        <w:ind w:left="1560" w:right="222" w:hanging="360"/>
        <w:jc w:val="left"/>
        <w:rPr>
          <w:sz w:val="24"/>
        </w:rPr>
      </w:pPr>
      <w:r>
        <w:rPr>
          <w:sz w:val="24"/>
        </w:rPr>
        <w:t>Upon invoice approval by the UM Facilities, progress payments will be made against progress billings in accordance with a schedule agreed to by all parties in</w:t>
      </w:r>
      <w:r>
        <w:rPr>
          <w:spacing w:val="-4"/>
          <w:sz w:val="24"/>
        </w:rPr>
        <w:t> </w:t>
      </w:r>
      <w:r>
        <w:rPr>
          <w:sz w:val="24"/>
        </w:rPr>
        <w:t>advance.</w:t>
      </w:r>
    </w:p>
    <w:p>
      <w:pPr>
        <w:pStyle w:val="ListParagraph"/>
        <w:numPr>
          <w:ilvl w:val="3"/>
          <w:numId w:val="1"/>
        </w:numPr>
        <w:tabs>
          <w:tab w:pos="1560" w:val="left" w:leader="none"/>
          <w:tab w:pos="1561" w:val="left" w:leader="none"/>
        </w:tabs>
        <w:spacing w:line="199" w:lineRule="auto" w:before="134" w:after="0"/>
        <w:ind w:left="1560" w:right="212" w:hanging="360"/>
        <w:jc w:val="left"/>
        <w:rPr>
          <w:sz w:val="24"/>
        </w:rPr>
      </w:pPr>
      <w:r>
        <w:rPr>
          <w:sz w:val="24"/>
        </w:rPr>
        <w:t>Final</w:t>
      </w:r>
      <w:r>
        <w:rPr>
          <w:spacing w:val="-5"/>
          <w:sz w:val="24"/>
        </w:rPr>
        <w:t> </w:t>
      </w:r>
      <w:r>
        <w:rPr>
          <w:sz w:val="24"/>
        </w:rPr>
        <w:t>payment</w:t>
      </w:r>
      <w:r>
        <w:rPr>
          <w:spacing w:val="-2"/>
          <w:sz w:val="24"/>
        </w:rPr>
        <w:t> </w:t>
      </w:r>
      <w:r>
        <w:rPr>
          <w:sz w:val="24"/>
        </w:rPr>
        <w:t>will</w:t>
      </w:r>
      <w:r>
        <w:rPr>
          <w:spacing w:val="-3"/>
          <w:sz w:val="24"/>
        </w:rPr>
        <w:t> </w:t>
      </w:r>
      <w:r>
        <w:rPr>
          <w:sz w:val="24"/>
        </w:rPr>
        <w:t>be</w:t>
      </w:r>
      <w:r>
        <w:rPr>
          <w:spacing w:val="-4"/>
          <w:sz w:val="24"/>
        </w:rPr>
        <w:t> </w:t>
      </w:r>
      <w:r>
        <w:rPr>
          <w:sz w:val="24"/>
        </w:rPr>
        <w:t>made</w:t>
      </w:r>
      <w:r>
        <w:rPr>
          <w:spacing w:val="-4"/>
          <w:sz w:val="24"/>
        </w:rPr>
        <w:t> </w:t>
      </w:r>
      <w:r>
        <w:rPr>
          <w:sz w:val="24"/>
        </w:rPr>
        <w:t>within</w:t>
      </w:r>
      <w:r>
        <w:rPr>
          <w:spacing w:val="-3"/>
          <w:sz w:val="24"/>
        </w:rPr>
        <w:t> </w:t>
      </w:r>
      <w:r>
        <w:rPr>
          <w:sz w:val="24"/>
        </w:rPr>
        <w:t>30</w:t>
      </w:r>
      <w:r>
        <w:rPr>
          <w:spacing w:val="-5"/>
          <w:sz w:val="24"/>
        </w:rPr>
        <w:t> </w:t>
      </w:r>
      <w:r>
        <w:rPr>
          <w:sz w:val="24"/>
        </w:rPr>
        <w:t>days</w:t>
      </w:r>
      <w:r>
        <w:rPr>
          <w:spacing w:val="-5"/>
          <w:sz w:val="24"/>
        </w:rPr>
        <w:t> </w:t>
      </w:r>
      <w:r>
        <w:rPr>
          <w:sz w:val="24"/>
        </w:rPr>
        <w:t>following</w:t>
      </w:r>
      <w:r>
        <w:rPr>
          <w:spacing w:val="-3"/>
          <w:sz w:val="24"/>
        </w:rPr>
        <w:t> </w:t>
      </w:r>
      <w:r>
        <w:rPr>
          <w:sz w:val="24"/>
        </w:rPr>
        <w:t>submission</w:t>
      </w:r>
      <w:r>
        <w:rPr>
          <w:spacing w:val="-3"/>
          <w:sz w:val="24"/>
        </w:rPr>
        <w:t> </w:t>
      </w:r>
      <w:r>
        <w:rPr>
          <w:sz w:val="24"/>
        </w:rPr>
        <w:t>of</w:t>
      </w:r>
      <w:r>
        <w:rPr>
          <w:spacing w:val="-3"/>
          <w:sz w:val="24"/>
        </w:rPr>
        <w:t> </w:t>
      </w:r>
      <w:r>
        <w:rPr>
          <w:sz w:val="24"/>
        </w:rPr>
        <w:t>all</w:t>
      </w:r>
      <w:r>
        <w:rPr>
          <w:spacing w:val="-6"/>
          <w:sz w:val="24"/>
        </w:rPr>
        <w:t> </w:t>
      </w:r>
      <w:r>
        <w:rPr>
          <w:sz w:val="24"/>
        </w:rPr>
        <w:t>goods</w:t>
      </w:r>
      <w:r>
        <w:rPr>
          <w:spacing w:val="-2"/>
          <w:sz w:val="24"/>
        </w:rPr>
        <w:t> </w:t>
      </w:r>
      <w:r>
        <w:rPr>
          <w:sz w:val="24"/>
        </w:rPr>
        <w:t>and</w:t>
      </w:r>
      <w:r>
        <w:rPr>
          <w:spacing w:val="-6"/>
          <w:sz w:val="24"/>
        </w:rPr>
        <w:t> </w:t>
      </w:r>
      <w:r>
        <w:rPr>
          <w:sz w:val="24"/>
        </w:rPr>
        <w:t>completion</w:t>
      </w:r>
      <w:r>
        <w:rPr>
          <w:spacing w:val="-3"/>
          <w:sz w:val="24"/>
        </w:rPr>
        <w:t> </w:t>
      </w:r>
      <w:r>
        <w:rPr>
          <w:sz w:val="24"/>
        </w:rPr>
        <w:t>of</w:t>
      </w:r>
      <w:r>
        <w:rPr>
          <w:spacing w:val="-3"/>
          <w:sz w:val="24"/>
        </w:rPr>
        <w:t> </w:t>
      </w:r>
      <w:r>
        <w:rPr>
          <w:sz w:val="24"/>
        </w:rPr>
        <w:t>all agreed-upon</w:t>
      </w:r>
      <w:r>
        <w:rPr>
          <w:spacing w:val="-1"/>
          <w:sz w:val="24"/>
        </w:rPr>
        <w:t> </w:t>
      </w:r>
      <w:r>
        <w:rPr>
          <w:sz w:val="24"/>
        </w:rPr>
        <w:t>services.</w:t>
      </w:r>
    </w:p>
    <w:p>
      <w:pPr>
        <w:pStyle w:val="BodyText"/>
        <w:spacing w:before="1"/>
        <w:rPr>
          <w:sz w:val="34"/>
        </w:rPr>
      </w:pPr>
    </w:p>
    <w:p>
      <w:pPr>
        <w:pStyle w:val="ListParagraph"/>
        <w:numPr>
          <w:ilvl w:val="2"/>
          <w:numId w:val="1"/>
        </w:numPr>
        <w:tabs>
          <w:tab w:pos="841" w:val="left" w:leader="none"/>
        </w:tabs>
        <w:spacing w:line="240" w:lineRule="auto" w:before="0" w:after="0"/>
        <w:ind w:left="840" w:right="0" w:hanging="360"/>
        <w:jc w:val="left"/>
        <w:rPr>
          <w:sz w:val="24"/>
        </w:rPr>
      </w:pPr>
      <w:r>
        <w:rPr>
          <w:spacing w:val="-3"/>
          <w:sz w:val="24"/>
        </w:rPr>
        <w:t>Proposal Evaluation </w:t>
      </w:r>
      <w:r>
        <w:rPr>
          <w:sz w:val="24"/>
        </w:rPr>
        <w:t>and Selection</w:t>
      </w:r>
      <w:r>
        <w:rPr>
          <w:spacing w:val="-13"/>
          <w:sz w:val="24"/>
        </w:rPr>
        <w:t> </w:t>
      </w:r>
      <w:r>
        <w:rPr>
          <w:spacing w:val="-3"/>
          <w:sz w:val="24"/>
        </w:rPr>
        <w:t>Process</w:t>
      </w:r>
    </w:p>
    <w:p>
      <w:pPr>
        <w:pStyle w:val="ListParagraph"/>
        <w:numPr>
          <w:ilvl w:val="0"/>
          <w:numId w:val="3"/>
        </w:numPr>
        <w:tabs>
          <w:tab w:pos="2205" w:val="left" w:leader="none"/>
          <w:tab w:pos="2206" w:val="left" w:leader="none"/>
        </w:tabs>
        <w:spacing w:line="319" w:lineRule="exact" w:before="67" w:after="0"/>
        <w:ind w:left="2206" w:right="0" w:hanging="982"/>
        <w:jc w:val="left"/>
        <w:rPr>
          <w:sz w:val="24"/>
        </w:rPr>
      </w:pPr>
      <w:r>
        <w:rPr>
          <w:sz w:val="24"/>
        </w:rPr>
        <w:t>RFP</w:t>
      </w:r>
      <w:r>
        <w:rPr>
          <w:spacing w:val="-5"/>
          <w:sz w:val="24"/>
        </w:rPr>
        <w:t> </w:t>
      </w:r>
      <w:r>
        <w:rPr>
          <w:sz w:val="24"/>
        </w:rPr>
        <w:t>Evaluation</w:t>
      </w:r>
    </w:p>
    <w:p>
      <w:pPr>
        <w:pStyle w:val="ListParagraph"/>
        <w:numPr>
          <w:ilvl w:val="1"/>
          <w:numId w:val="3"/>
        </w:numPr>
        <w:tabs>
          <w:tab w:pos="2665" w:val="left" w:leader="none"/>
        </w:tabs>
        <w:spacing w:line="204" w:lineRule="auto" w:before="16" w:after="0"/>
        <w:ind w:left="2664" w:right="214" w:hanging="480"/>
        <w:jc w:val="both"/>
        <w:rPr>
          <w:sz w:val="24"/>
        </w:rPr>
      </w:pPr>
      <w:r>
        <w:rPr>
          <w:sz w:val="24"/>
        </w:rPr>
        <w:t>Proposals</w:t>
      </w:r>
      <w:r>
        <w:rPr>
          <w:spacing w:val="-13"/>
          <w:sz w:val="24"/>
        </w:rPr>
        <w:t> </w:t>
      </w:r>
      <w:r>
        <w:rPr>
          <w:sz w:val="24"/>
        </w:rPr>
        <w:t>will</w:t>
      </w:r>
      <w:r>
        <w:rPr>
          <w:spacing w:val="-13"/>
          <w:sz w:val="24"/>
        </w:rPr>
        <w:t> </w:t>
      </w:r>
      <w:r>
        <w:rPr>
          <w:sz w:val="24"/>
        </w:rPr>
        <w:t>be</w:t>
      </w:r>
      <w:r>
        <w:rPr>
          <w:spacing w:val="-13"/>
          <w:sz w:val="24"/>
        </w:rPr>
        <w:t> </w:t>
      </w:r>
      <w:r>
        <w:rPr>
          <w:sz w:val="24"/>
        </w:rPr>
        <w:t>evaluated</w:t>
      </w:r>
      <w:r>
        <w:rPr>
          <w:spacing w:val="-13"/>
          <w:sz w:val="24"/>
        </w:rPr>
        <w:t> </w:t>
      </w:r>
      <w:r>
        <w:rPr>
          <w:sz w:val="24"/>
        </w:rPr>
        <w:t>in</w:t>
      </w:r>
      <w:r>
        <w:rPr>
          <w:spacing w:val="-13"/>
          <w:sz w:val="24"/>
        </w:rPr>
        <w:t> </w:t>
      </w:r>
      <w:r>
        <w:rPr>
          <w:sz w:val="24"/>
        </w:rPr>
        <w:t>the</w:t>
      </w:r>
      <w:r>
        <w:rPr>
          <w:spacing w:val="-13"/>
          <w:sz w:val="24"/>
        </w:rPr>
        <w:t> </w:t>
      </w:r>
      <w:r>
        <w:rPr>
          <w:sz w:val="24"/>
        </w:rPr>
        <w:t>areas</w:t>
      </w:r>
      <w:r>
        <w:rPr>
          <w:spacing w:val="-12"/>
          <w:sz w:val="24"/>
        </w:rPr>
        <w:t> </w:t>
      </w:r>
      <w:r>
        <w:rPr>
          <w:sz w:val="24"/>
        </w:rPr>
        <w:t>as</w:t>
      </w:r>
      <w:r>
        <w:rPr>
          <w:spacing w:val="-13"/>
          <w:sz w:val="24"/>
        </w:rPr>
        <w:t> </w:t>
      </w:r>
      <w:r>
        <w:rPr>
          <w:sz w:val="24"/>
        </w:rPr>
        <w:t>described</w:t>
      </w:r>
      <w:r>
        <w:rPr>
          <w:spacing w:val="-12"/>
          <w:sz w:val="24"/>
        </w:rPr>
        <w:t> </w:t>
      </w:r>
      <w:r>
        <w:rPr>
          <w:sz w:val="24"/>
        </w:rPr>
        <w:t>in</w:t>
      </w:r>
      <w:r>
        <w:rPr>
          <w:spacing w:val="-13"/>
          <w:sz w:val="24"/>
        </w:rPr>
        <w:t> </w:t>
      </w:r>
      <w:r>
        <w:rPr>
          <w:sz w:val="24"/>
        </w:rPr>
        <w:t>Section</w:t>
      </w:r>
      <w:r>
        <w:rPr>
          <w:spacing w:val="-13"/>
          <w:sz w:val="24"/>
        </w:rPr>
        <w:t> </w:t>
      </w:r>
      <w:r>
        <w:rPr>
          <w:sz w:val="24"/>
        </w:rPr>
        <w:t>C</w:t>
      </w:r>
      <w:r>
        <w:rPr>
          <w:spacing w:val="-13"/>
          <w:sz w:val="24"/>
        </w:rPr>
        <w:t> </w:t>
      </w:r>
      <w:r>
        <w:rPr>
          <w:sz w:val="24"/>
        </w:rPr>
        <w:t>below.</w:t>
      </w:r>
      <w:r>
        <w:rPr>
          <w:spacing w:val="28"/>
          <w:sz w:val="24"/>
        </w:rPr>
        <w:t> </w:t>
      </w:r>
      <w:r>
        <w:rPr>
          <w:sz w:val="24"/>
        </w:rPr>
        <w:t>The</w:t>
      </w:r>
      <w:r>
        <w:rPr>
          <w:spacing w:val="-11"/>
          <w:sz w:val="24"/>
        </w:rPr>
        <w:t> </w:t>
      </w:r>
      <w:r>
        <w:rPr>
          <w:sz w:val="24"/>
        </w:rPr>
        <w:t>University plans to make a selection based on whose proposal is determined to represent the best value to the University. The University’s best value source selection is based on the following: If all offers are deemed competitive and are of approximately equal qualitative (technical, operational, and management) merit, the University will select the offer with the lowest price. However, the University may select for negotiations with a respondent(s) whose proposal(s) offers a higher qualitative merit if the difference in price is commensurate with added value. Conversely, the University</w:t>
      </w:r>
      <w:r>
        <w:rPr>
          <w:spacing w:val="-29"/>
          <w:sz w:val="24"/>
        </w:rPr>
        <w:t> </w:t>
      </w:r>
      <w:r>
        <w:rPr>
          <w:sz w:val="24"/>
        </w:rPr>
        <w:t>may select for negotiations with a respondent whose proposal offers a lower qualitative merit if the price differential between it and other offers so</w:t>
      </w:r>
      <w:r>
        <w:rPr>
          <w:spacing w:val="-7"/>
          <w:sz w:val="24"/>
        </w:rPr>
        <w:t> </w:t>
      </w:r>
      <w:r>
        <w:rPr>
          <w:sz w:val="24"/>
        </w:rPr>
        <w:t>warrants.</w:t>
      </w:r>
    </w:p>
    <w:p>
      <w:pPr>
        <w:pStyle w:val="BodyText"/>
        <w:spacing w:before="7"/>
        <w:rPr>
          <w:sz w:val="18"/>
        </w:rPr>
      </w:pPr>
    </w:p>
    <w:p>
      <w:pPr>
        <w:pStyle w:val="ListParagraph"/>
        <w:numPr>
          <w:ilvl w:val="1"/>
          <w:numId w:val="3"/>
        </w:numPr>
        <w:tabs>
          <w:tab w:pos="2654" w:val="left" w:leader="none"/>
          <w:tab w:pos="2655" w:val="left" w:leader="none"/>
        </w:tabs>
        <w:spacing w:line="240" w:lineRule="auto" w:before="1" w:after="0"/>
        <w:ind w:left="2654" w:right="0" w:hanging="475"/>
        <w:jc w:val="left"/>
        <w:rPr>
          <w:sz w:val="24"/>
        </w:rPr>
      </w:pPr>
      <w:r>
        <w:rPr>
          <w:sz w:val="24"/>
        </w:rPr>
        <w:t>An evaluation team will evaluate the proposals utilizing the following</w:t>
      </w:r>
      <w:r>
        <w:rPr>
          <w:spacing w:val="-5"/>
          <w:sz w:val="24"/>
        </w:rPr>
        <w:t> </w:t>
      </w:r>
      <w:r>
        <w:rPr>
          <w:sz w:val="24"/>
        </w:rPr>
        <w:t>process:</w:t>
      </w:r>
    </w:p>
    <w:p>
      <w:pPr>
        <w:pStyle w:val="ListParagraph"/>
        <w:numPr>
          <w:ilvl w:val="2"/>
          <w:numId w:val="3"/>
        </w:numPr>
        <w:tabs>
          <w:tab w:pos="3181" w:val="left" w:leader="none"/>
        </w:tabs>
        <w:spacing w:line="204" w:lineRule="auto" w:before="111" w:after="0"/>
        <w:ind w:left="3331" w:right="436" w:hanging="547"/>
        <w:jc w:val="left"/>
        <w:rPr>
          <w:sz w:val="24"/>
        </w:rPr>
      </w:pPr>
      <w:r>
        <w:rPr>
          <w:sz w:val="24"/>
        </w:rPr>
        <w:t>Results of the initial proposal evaluation are used to determine those having a reasonable chance of being selected for award. Proposals determined </w:t>
      </w:r>
      <w:r>
        <w:rPr>
          <w:sz w:val="24"/>
          <w:u w:val="single"/>
        </w:rPr>
        <w:t>not</w:t>
      </w:r>
      <w:r>
        <w:rPr>
          <w:sz w:val="24"/>
        </w:rPr>
        <w:t> to be competitive will be eliminated from further consideration, and the respondents are notified</w:t>
      </w:r>
      <w:r>
        <w:rPr>
          <w:spacing w:val="2"/>
          <w:sz w:val="24"/>
        </w:rPr>
        <w:t> </w:t>
      </w:r>
      <w:r>
        <w:rPr>
          <w:sz w:val="24"/>
        </w:rPr>
        <w:t>accordingly.</w:t>
      </w:r>
    </w:p>
    <w:p>
      <w:pPr>
        <w:spacing w:after="0" w:line="204" w:lineRule="auto"/>
        <w:jc w:val="left"/>
        <w:rPr>
          <w:sz w:val="24"/>
        </w:rPr>
        <w:sectPr>
          <w:pgSz w:w="12240" w:h="15840"/>
          <w:pgMar w:header="0" w:footer="894" w:top="680" w:bottom="1120" w:left="600" w:right="500"/>
        </w:sectPr>
      </w:pPr>
    </w:p>
    <w:p>
      <w:pPr>
        <w:pStyle w:val="ListParagraph"/>
        <w:numPr>
          <w:ilvl w:val="2"/>
          <w:numId w:val="3"/>
        </w:numPr>
        <w:tabs>
          <w:tab w:pos="3181" w:val="left" w:leader="none"/>
        </w:tabs>
        <w:spacing w:line="204" w:lineRule="auto" w:before="28" w:after="0"/>
        <w:ind w:left="3324" w:right="325" w:hanging="540"/>
        <w:jc w:val="left"/>
        <w:rPr>
          <w:sz w:val="24"/>
        </w:rPr>
      </w:pPr>
      <w:r>
        <w:rPr>
          <w:sz w:val="24"/>
        </w:rPr>
        <w:t>The University may, at its sole discretion, conduct limited communications</w:t>
      </w:r>
      <w:r>
        <w:rPr>
          <w:spacing w:val="-25"/>
          <w:sz w:val="24"/>
        </w:rPr>
        <w:t> </w:t>
      </w:r>
      <w:r>
        <w:rPr>
          <w:sz w:val="24"/>
        </w:rPr>
        <w:t>with one or more respondents for the purpose of determining whether the proposals should be included for further consideration. Such communications may be conducted to enhance the University’s understanding of proposal(s) and may be used</w:t>
      </w:r>
      <w:r>
        <w:rPr>
          <w:spacing w:val="-3"/>
          <w:sz w:val="24"/>
        </w:rPr>
        <w:t> </w:t>
      </w:r>
      <w:r>
        <w:rPr>
          <w:sz w:val="24"/>
        </w:rPr>
        <w:t>to:</w:t>
      </w:r>
    </w:p>
    <w:p>
      <w:pPr>
        <w:pStyle w:val="ListParagraph"/>
        <w:numPr>
          <w:ilvl w:val="3"/>
          <w:numId w:val="3"/>
        </w:numPr>
        <w:tabs>
          <w:tab w:pos="4412" w:val="left" w:leader="none"/>
        </w:tabs>
        <w:spacing w:line="240" w:lineRule="auto" w:before="12" w:after="0"/>
        <w:ind w:left="4411" w:right="0" w:hanging="306"/>
        <w:jc w:val="left"/>
        <w:rPr>
          <w:sz w:val="24"/>
        </w:rPr>
      </w:pPr>
      <w:r>
        <w:rPr>
          <w:sz w:val="24"/>
        </w:rPr>
        <w:t>Validate or clarify the proposed pricing;</w:t>
      </w:r>
      <w:r>
        <w:rPr>
          <w:spacing w:val="-4"/>
          <w:sz w:val="24"/>
        </w:rPr>
        <w:t> </w:t>
      </w:r>
      <w:r>
        <w:rPr>
          <w:sz w:val="24"/>
        </w:rPr>
        <w:t>and</w:t>
      </w:r>
    </w:p>
    <w:p>
      <w:pPr>
        <w:pStyle w:val="ListParagraph"/>
        <w:numPr>
          <w:ilvl w:val="3"/>
          <w:numId w:val="3"/>
        </w:numPr>
        <w:tabs>
          <w:tab w:pos="4439" w:val="left" w:leader="none"/>
        </w:tabs>
        <w:spacing w:line="204" w:lineRule="auto" w:before="49" w:after="0"/>
        <w:ind w:left="4493" w:right="574" w:hanging="360"/>
        <w:jc w:val="left"/>
        <w:rPr>
          <w:sz w:val="24"/>
        </w:rPr>
      </w:pPr>
      <w:r>
        <w:rPr>
          <w:sz w:val="24"/>
        </w:rPr>
        <w:t>Clarify omissions, ambiguities and uncertainties in</w:t>
      </w:r>
      <w:r>
        <w:rPr>
          <w:spacing w:val="-19"/>
          <w:sz w:val="24"/>
        </w:rPr>
        <w:t> </w:t>
      </w:r>
      <w:r>
        <w:rPr>
          <w:sz w:val="24"/>
        </w:rPr>
        <w:t>respondent’s proposal;</w:t>
      </w:r>
      <w:r>
        <w:rPr>
          <w:spacing w:val="-2"/>
          <w:sz w:val="24"/>
        </w:rPr>
        <w:t> </w:t>
      </w:r>
      <w:r>
        <w:rPr>
          <w:sz w:val="24"/>
        </w:rPr>
        <w:t>and</w:t>
      </w:r>
    </w:p>
    <w:p>
      <w:pPr>
        <w:pStyle w:val="ListParagraph"/>
        <w:numPr>
          <w:ilvl w:val="3"/>
          <w:numId w:val="3"/>
        </w:numPr>
        <w:tabs>
          <w:tab w:pos="4463" w:val="left" w:leader="none"/>
        </w:tabs>
        <w:spacing w:line="240" w:lineRule="auto" w:before="18" w:after="0"/>
        <w:ind w:left="4462" w:right="0" w:hanging="357"/>
        <w:jc w:val="left"/>
        <w:rPr>
          <w:sz w:val="24"/>
        </w:rPr>
      </w:pPr>
      <w:r>
        <w:rPr>
          <w:sz w:val="24"/>
        </w:rPr>
        <w:t>Clarify relevant firm experience</w:t>
      </w:r>
      <w:r>
        <w:rPr>
          <w:spacing w:val="-3"/>
          <w:sz w:val="24"/>
        </w:rPr>
        <w:t> </w:t>
      </w:r>
      <w:r>
        <w:rPr>
          <w:sz w:val="24"/>
        </w:rPr>
        <w:t>information.</w:t>
      </w:r>
    </w:p>
    <w:p>
      <w:pPr>
        <w:pStyle w:val="ListParagraph"/>
        <w:numPr>
          <w:ilvl w:val="2"/>
          <w:numId w:val="3"/>
        </w:numPr>
        <w:tabs>
          <w:tab w:pos="3331" w:val="left" w:leader="none"/>
          <w:tab w:pos="3332" w:val="left" w:leader="none"/>
        </w:tabs>
        <w:spacing w:line="204" w:lineRule="auto" w:before="109" w:after="0"/>
        <w:ind w:left="3331" w:right="296" w:hanging="547"/>
        <w:jc w:val="left"/>
        <w:rPr>
          <w:sz w:val="24"/>
        </w:rPr>
      </w:pPr>
      <w:r>
        <w:rPr>
          <w:sz w:val="24"/>
        </w:rPr>
        <w:t>The University reserves the right to make determinations about any proposals received without conducting further communications with</w:t>
      </w:r>
      <w:r>
        <w:rPr>
          <w:spacing w:val="-3"/>
          <w:sz w:val="24"/>
        </w:rPr>
        <w:t> </w:t>
      </w:r>
      <w:r>
        <w:rPr>
          <w:sz w:val="24"/>
        </w:rPr>
        <w:t>any</w:t>
      </w:r>
    </w:p>
    <w:p>
      <w:pPr>
        <w:pStyle w:val="BodyText"/>
        <w:spacing w:line="204" w:lineRule="auto"/>
        <w:ind w:left="3331"/>
      </w:pPr>
      <w:r>
        <w:rPr/>
        <w:t>respondents. Further, the University, at its sole discretion, may waive minor informalities and minor irregularities in proposals received.</w:t>
      </w:r>
    </w:p>
    <w:p>
      <w:pPr>
        <w:pStyle w:val="BodyText"/>
        <w:spacing w:before="12"/>
        <w:rPr>
          <w:sz w:val="21"/>
        </w:rPr>
      </w:pPr>
    </w:p>
    <w:p>
      <w:pPr>
        <w:pStyle w:val="ListParagraph"/>
        <w:numPr>
          <w:ilvl w:val="1"/>
          <w:numId w:val="3"/>
        </w:numPr>
        <w:tabs>
          <w:tab w:pos="2664" w:val="left" w:leader="none"/>
          <w:tab w:pos="2665" w:val="left" w:leader="none"/>
        </w:tabs>
        <w:spacing w:line="204" w:lineRule="auto" w:before="0" w:after="0"/>
        <w:ind w:left="2664" w:right="427" w:hanging="480"/>
        <w:jc w:val="left"/>
        <w:rPr>
          <w:sz w:val="24"/>
        </w:rPr>
      </w:pPr>
      <w:r>
        <w:rPr>
          <w:sz w:val="24"/>
        </w:rPr>
        <w:t>The University may make source selection after the initial proposal evaluation and presentations or may conduct discussions with any or all respondents who have submitted proposals, which are determined to be competitive. The purpose of such discussions is to assist the evaluators in fully understanding each proposal</w:t>
      </w:r>
      <w:r>
        <w:rPr>
          <w:spacing w:val="-16"/>
          <w:sz w:val="24"/>
        </w:rPr>
        <w:t> </w:t>
      </w:r>
      <w:r>
        <w:rPr>
          <w:sz w:val="24"/>
        </w:rPr>
        <w:t>by:</w:t>
      </w:r>
    </w:p>
    <w:p>
      <w:pPr>
        <w:pStyle w:val="ListParagraph"/>
        <w:numPr>
          <w:ilvl w:val="2"/>
          <w:numId w:val="3"/>
        </w:numPr>
        <w:tabs>
          <w:tab w:pos="3865" w:val="left" w:leader="none"/>
          <w:tab w:pos="3866" w:val="left" w:leader="none"/>
        </w:tabs>
        <w:spacing w:line="204" w:lineRule="auto" w:before="118" w:after="0"/>
        <w:ind w:left="3865" w:right="729" w:hanging="721"/>
        <w:jc w:val="left"/>
        <w:rPr>
          <w:sz w:val="24"/>
        </w:rPr>
      </w:pPr>
      <w:r>
        <w:rPr>
          <w:sz w:val="24"/>
        </w:rPr>
        <w:t>Discussing those aspects of each proposal, which contain</w:t>
      </w:r>
      <w:r>
        <w:rPr>
          <w:spacing w:val="-29"/>
          <w:sz w:val="24"/>
        </w:rPr>
        <w:t> </w:t>
      </w:r>
      <w:r>
        <w:rPr>
          <w:sz w:val="24"/>
        </w:rPr>
        <w:t>omissions, ambiguities and uncertainties;</w:t>
      </w:r>
    </w:p>
    <w:p>
      <w:pPr>
        <w:pStyle w:val="ListParagraph"/>
        <w:numPr>
          <w:ilvl w:val="2"/>
          <w:numId w:val="3"/>
        </w:numPr>
        <w:tabs>
          <w:tab w:pos="3864" w:val="left" w:leader="none"/>
          <w:tab w:pos="3865" w:val="left" w:leader="none"/>
        </w:tabs>
        <w:spacing w:line="204" w:lineRule="auto" w:before="117" w:after="0"/>
        <w:ind w:left="3865" w:right="528" w:hanging="721"/>
        <w:jc w:val="left"/>
        <w:rPr>
          <w:sz w:val="24"/>
        </w:rPr>
      </w:pPr>
      <w:r>
        <w:rPr>
          <w:sz w:val="24"/>
        </w:rPr>
        <w:t>Verifying and identifying strengths and weaknesses which could affect work</w:t>
      </w:r>
      <w:r>
        <w:rPr>
          <w:spacing w:val="-1"/>
          <w:sz w:val="24"/>
        </w:rPr>
        <w:t> </w:t>
      </w:r>
      <w:r>
        <w:rPr>
          <w:sz w:val="24"/>
        </w:rPr>
        <w:t>performance;</w:t>
      </w:r>
    </w:p>
    <w:p>
      <w:pPr>
        <w:pStyle w:val="ListParagraph"/>
        <w:numPr>
          <w:ilvl w:val="2"/>
          <w:numId w:val="3"/>
        </w:numPr>
        <w:tabs>
          <w:tab w:pos="3864" w:val="left" w:leader="none"/>
          <w:tab w:pos="3865" w:val="left" w:leader="none"/>
        </w:tabs>
        <w:spacing w:line="240" w:lineRule="auto" w:before="76" w:after="0"/>
        <w:ind w:left="3865" w:right="0" w:hanging="721"/>
        <w:jc w:val="left"/>
        <w:rPr>
          <w:sz w:val="24"/>
        </w:rPr>
      </w:pPr>
      <w:r>
        <w:rPr>
          <w:sz w:val="24"/>
        </w:rPr>
        <w:t>Verifying the validity of the respondent’s proposed pricing;</w:t>
      </w:r>
      <w:r>
        <w:rPr>
          <w:spacing w:val="-6"/>
          <w:sz w:val="24"/>
        </w:rPr>
        <w:t> </w:t>
      </w:r>
      <w:r>
        <w:rPr>
          <w:sz w:val="24"/>
        </w:rPr>
        <w:t>and</w:t>
      </w:r>
    </w:p>
    <w:p>
      <w:pPr>
        <w:pStyle w:val="ListParagraph"/>
        <w:numPr>
          <w:ilvl w:val="2"/>
          <w:numId w:val="3"/>
        </w:numPr>
        <w:tabs>
          <w:tab w:pos="3864" w:val="left" w:leader="none"/>
          <w:tab w:pos="3865" w:val="left" w:leader="none"/>
        </w:tabs>
        <w:spacing w:line="204" w:lineRule="auto" w:before="109" w:after="0"/>
        <w:ind w:left="3865" w:right="406" w:hanging="721"/>
        <w:jc w:val="left"/>
        <w:rPr>
          <w:sz w:val="24"/>
        </w:rPr>
      </w:pPr>
      <w:r>
        <w:rPr>
          <w:sz w:val="24"/>
        </w:rPr>
        <w:t>Assessing the proposed personnel and the respondent’s capabilities for performing the</w:t>
      </w:r>
      <w:r>
        <w:rPr>
          <w:spacing w:val="-1"/>
          <w:sz w:val="24"/>
        </w:rPr>
        <w:t> </w:t>
      </w:r>
      <w:r>
        <w:rPr>
          <w:sz w:val="24"/>
        </w:rPr>
        <w:t>work.</w:t>
      </w:r>
    </w:p>
    <w:p>
      <w:pPr>
        <w:pStyle w:val="BodyText"/>
        <w:spacing w:before="14"/>
        <w:rPr>
          <w:sz w:val="21"/>
        </w:rPr>
      </w:pPr>
    </w:p>
    <w:p>
      <w:pPr>
        <w:pStyle w:val="ListParagraph"/>
        <w:numPr>
          <w:ilvl w:val="1"/>
          <w:numId w:val="3"/>
        </w:numPr>
        <w:tabs>
          <w:tab w:pos="2664" w:val="left" w:leader="none"/>
          <w:tab w:pos="2665" w:val="left" w:leader="none"/>
        </w:tabs>
        <w:spacing w:line="204" w:lineRule="auto" w:before="0" w:after="0"/>
        <w:ind w:left="2664" w:right="524" w:hanging="480"/>
        <w:jc w:val="left"/>
        <w:rPr>
          <w:sz w:val="24"/>
        </w:rPr>
      </w:pPr>
      <w:r>
        <w:rPr>
          <w:sz w:val="24"/>
        </w:rPr>
        <w:t>After discussions, if any, the initial evaluation findings will be reviewed and may be revised to incorporate the results of the discussions to arrive at a final</w:t>
      </w:r>
      <w:r>
        <w:rPr>
          <w:spacing w:val="-24"/>
          <w:sz w:val="24"/>
        </w:rPr>
        <w:t> </w:t>
      </w:r>
      <w:r>
        <w:rPr>
          <w:sz w:val="24"/>
        </w:rPr>
        <w:t>evaluation.</w:t>
      </w:r>
    </w:p>
    <w:p>
      <w:pPr>
        <w:pStyle w:val="BodyText"/>
        <w:spacing w:before="2"/>
        <w:rPr>
          <w:sz w:val="22"/>
        </w:rPr>
      </w:pPr>
    </w:p>
    <w:p>
      <w:pPr>
        <w:pStyle w:val="ListParagraph"/>
        <w:numPr>
          <w:ilvl w:val="1"/>
          <w:numId w:val="3"/>
        </w:numPr>
        <w:tabs>
          <w:tab w:pos="2551" w:val="left" w:leader="none"/>
          <w:tab w:pos="2552" w:val="left" w:leader="none"/>
        </w:tabs>
        <w:spacing w:line="204" w:lineRule="auto" w:before="0" w:after="0"/>
        <w:ind w:left="2693" w:right="947" w:hanging="540"/>
        <w:jc w:val="left"/>
        <w:rPr>
          <w:sz w:val="24"/>
        </w:rPr>
      </w:pPr>
      <w:r>
        <w:rPr>
          <w:sz w:val="24"/>
        </w:rPr>
        <w:t>The evaluation findings will be compiled by the evaluation team and ratings are assigned which incorporate the results of the proposal assessments and any discussions with</w:t>
      </w:r>
      <w:r>
        <w:rPr>
          <w:spacing w:val="-2"/>
          <w:sz w:val="24"/>
        </w:rPr>
        <w:t> </w:t>
      </w:r>
      <w:r>
        <w:rPr>
          <w:sz w:val="24"/>
        </w:rPr>
        <w:t>respondents.</w:t>
      </w:r>
    </w:p>
    <w:p>
      <w:pPr>
        <w:pStyle w:val="BodyText"/>
        <w:spacing w:before="14"/>
        <w:rPr>
          <w:sz w:val="18"/>
        </w:rPr>
      </w:pPr>
    </w:p>
    <w:p>
      <w:pPr>
        <w:pStyle w:val="ListParagraph"/>
        <w:numPr>
          <w:ilvl w:val="0"/>
          <w:numId w:val="3"/>
        </w:numPr>
        <w:tabs>
          <w:tab w:pos="2064" w:val="left" w:leader="none"/>
          <w:tab w:pos="2065" w:val="left" w:leader="none"/>
        </w:tabs>
        <w:spacing w:line="319" w:lineRule="exact" w:before="0" w:after="0"/>
        <w:ind w:left="2064" w:right="0" w:hanging="840"/>
        <w:jc w:val="left"/>
        <w:rPr>
          <w:sz w:val="24"/>
        </w:rPr>
      </w:pPr>
      <w:r>
        <w:rPr>
          <w:sz w:val="24"/>
        </w:rPr>
        <w:t>Vendor</w:t>
      </w:r>
      <w:r>
        <w:rPr>
          <w:spacing w:val="-5"/>
          <w:sz w:val="24"/>
        </w:rPr>
        <w:t> </w:t>
      </w:r>
      <w:r>
        <w:rPr>
          <w:sz w:val="24"/>
        </w:rPr>
        <w:t>Selection</w:t>
      </w:r>
    </w:p>
    <w:p>
      <w:pPr>
        <w:pStyle w:val="ListParagraph"/>
        <w:numPr>
          <w:ilvl w:val="1"/>
          <w:numId w:val="3"/>
        </w:numPr>
        <w:tabs>
          <w:tab w:pos="2664" w:val="left" w:leader="none"/>
          <w:tab w:pos="2665" w:val="left" w:leader="none"/>
        </w:tabs>
        <w:spacing w:line="204" w:lineRule="auto" w:before="15" w:after="0"/>
        <w:ind w:left="2664" w:right="239" w:hanging="480"/>
        <w:jc w:val="left"/>
        <w:rPr>
          <w:sz w:val="24"/>
        </w:rPr>
      </w:pPr>
      <w:r>
        <w:rPr>
          <w:sz w:val="24"/>
        </w:rPr>
        <w:t>The results of the final RFP evaluation will be approved by the appropriate authorized University personnel and Strategic Sourcing Specialist will notify the selected Respondent and coordinate the negotiation of contractual terms and conditions based on the proposal(s)</w:t>
      </w:r>
      <w:r>
        <w:rPr>
          <w:spacing w:val="-2"/>
          <w:sz w:val="24"/>
        </w:rPr>
        <w:t> </w:t>
      </w:r>
      <w:r>
        <w:rPr>
          <w:sz w:val="24"/>
        </w:rPr>
        <w:t>submitted.</w:t>
      </w:r>
    </w:p>
    <w:p>
      <w:pPr>
        <w:pStyle w:val="BodyText"/>
        <w:spacing w:before="3"/>
        <w:rPr>
          <w:sz w:val="20"/>
        </w:rPr>
      </w:pPr>
    </w:p>
    <w:p>
      <w:pPr>
        <w:pStyle w:val="ListParagraph"/>
        <w:numPr>
          <w:ilvl w:val="1"/>
          <w:numId w:val="3"/>
        </w:numPr>
        <w:tabs>
          <w:tab w:pos="2665" w:val="left" w:leader="none"/>
        </w:tabs>
        <w:spacing w:line="204" w:lineRule="auto" w:before="0" w:after="0"/>
        <w:ind w:left="2664" w:right="274" w:hanging="480"/>
        <w:jc w:val="both"/>
        <w:rPr>
          <w:sz w:val="24"/>
        </w:rPr>
      </w:pPr>
      <w:r>
        <w:rPr>
          <w:sz w:val="24"/>
        </w:rPr>
        <w:t>The University reserves the right to reject all proposals, to award a contract based on initial proposals (without proposal clarifications) or to conduct oral discussions, prior to making source</w:t>
      </w:r>
      <w:r>
        <w:rPr>
          <w:spacing w:val="-2"/>
          <w:sz w:val="24"/>
        </w:rPr>
        <w:t> </w:t>
      </w:r>
      <w:r>
        <w:rPr>
          <w:sz w:val="24"/>
        </w:rPr>
        <w:t>selection.</w:t>
      </w:r>
    </w:p>
    <w:p>
      <w:pPr>
        <w:spacing w:after="0" w:line="204" w:lineRule="auto"/>
        <w:jc w:val="both"/>
        <w:rPr>
          <w:sz w:val="24"/>
        </w:rPr>
        <w:sectPr>
          <w:pgSz w:w="12240" w:h="15840"/>
          <w:pgMar w:header="0" w:footer="894" w:top="680" w:bottom="1120" w:left="600" w:right="500"/>
        </w:sectPr>
      </w:pPr>
    </w:p>
    <w:p>
      <w:pPr>
        <w:pStyle w:val="ListParagraph"/>
        <w:numPr>
          <w:ilvl w:val="0"/>
          <w:numId w:val="3"/>
        </w:numPr>
        <w:tabs>
          <w:tab w:pos="1560" w:val="left" w:leader="none"/>
          <w:tab w:pos="1561" w:val="left" w:leader="none"/>
        </w:tabs>
        <w:spacing w:line="204" w:lineRule="auto" w:before="28" w:after="0"/>
        <w:ind w:left="1560" w:right="463" w:hanging="720"/>
        <w:jc w:val="left"/>
        <w:rPr>
          <w:sz w:val="24"/>
        </w:rPr>
      </w:pPr>
      <w:r>
        <w:rPr>
          <w:sz w:val="24"/>
        </w:rPr>
        <w:t>Specific evaluation questions are found on attachments to this RFP. The criteria and factors for use to evaluate the proposal are listed below in no particular</w:t>
      </w:r>
      <w:r>
        <w:rPr>
          <w:spacing w:val="-7"/>
          <w:sz w:val="24"/>
        </w:rPr>
        <w:t> </w:t>
      </w:r>
      <w:r>
        <w:rPr>
          <w:sz w:val="24"/>
        </w:rPr>
        <w:t>order.</w:t>
      </w:r>
    </w:p>
    <w:p>
      <w:pPr>
        <w:pStyle w:val="ListParagraph"/>
        <w:numPr>
          <w:ilvl w:val="0"/>
          <w:numId w:val="4"/>
        </w:numPr>
        <w:tabs>
          <w:tab w:pos="2280" w:val="left" w:leader="none"/>
          <w:tab w:pos="2281" w:val="left" w:leader="none"/>
        </w:tabs>
        <w:spacing w:line="320" w:lineRule="exact" w:before="0" w:after="0"/>
        <w:ind w:left="2280" w:right="0" w:hanging="360"/>
        <w:jc w:val="left"/>
        <w:rPr>
          <w:sz w:val="24"/>
        </w:rPr>
      </w:pPr>
      <w:r>
        <w:rPr>
          <w:sz w:val="24"/>
        </w:rPr>
        <w:t>Limiting</w:t>
      </w:r>
      <w:r>
        <w:rPr>
          <w:spacing w:val="-1"/>
          <w:sz w:val="24"/>
        </w:rPr>
        <w:t> </w:t>
      </w:r>
      <w:r>
        <w:rPr>
          <w:sz w:val="24"/>
        </w:rPr>
        <w:t>Criteria</w:t>
      </w:r>
    </w:p>
    <w:p>
      <w:pPr>
        <w:pStyle w:val="ListParagraph"/>
        <w:numPr>
          <w:ilvl w:val="0"/>
          <w:numId w:val="4"/>
        </w:numPr>
        <w:tabs>
          <w:tab w:pos="2280" w:val="left" w:leader="none"/>
          <w:tab w:pos="2281" w:val="left" w:leader="none"/>
        </w:tabs>
        <w:spacing w:line="240" w:lineRule="auto" w:before="75" w:after="0"/>
        <w:ind w:left="2280" w:right="0" w:hanging="360"/>
        <w:jc w:val="left"/>
        <w:rPr>
          <w:sz w:val="24"/>
        </w:rPr>
      </w:pPr>
      <w:r>
        <w:rPr>
          <w:sz w:val="24"/>
        </w:rPr>
        <w:t>Desirable</w:t>
      </w:r>
      <w:r>
        <w:rPr>
          <w:spacing w:val="-2"/>
          <w:sz w:val="24"/>
        </w:rPr>
        <w:t> </w:t>
      </w:r>
      <w:r>
        <w:rPr>
          <w:sz w:val="24"/>
        </w:rPr>
        <w:t>Criteria</w:t>
      </w:r>
    </w:p>
    <w:p>
      <w:pPr>
        <w:pStyle w:val="ListParagraph"/>
        <w:numPr>
          <w:ilvl w:val="0"/>
          <w:numId w:val="4"/>
        </w:numPr>
        <w:tabs>
          <w:tab w:pos="2280" w:val="left" w:leader="none"/>
          <w:tab w:pos="2281" w:val="left" w:leader="none"/>
        </w:tabs>
        <w:spacing w:line="240" w:lineRule="auto" w:before="71" w:after="0"/>
        <w:ind w:left="2280" w:right="0" w:hanging="360"/>
        <w:jc w:val="left"/>
        <w:rPr>
          <w:sz w:val="24"/>
        </w:rPr>
      </w:pPr>
      <w:r>
        <w:rPr>
          <w:sz w:val="24"/>
        </w:rPr>
        <w:t>Detailed</w:t>
      </w:r>
      <w:r>
        <w:rPr>
          <w:spacing w:val="-1"/>
          <w:sz w:val="24"/>
        </w:rPr>
        <w:t> </w:t>
      </w:r>
      <w:r>
        <w:rPr>
          <w:sz w:val="24"/>
        </w:rPr>
        <w:t>Specifications</w:t>
      </w:r>
    </w:p>
    <w:p>
      <w:pPr>
        <w:pStyle w:val="ListParagraph"/>
        <w:numPr>
          <w:ilvl w:val="0"/>
          <w:numId w:val="4"/>
        </w:numPr>
        <w:tabs>
          <w:tab w:pos="2280" w:val="left" w:leader="none"/>
          <w:tab w:pos="2281" w:val="left" w:leader="none"/>
        </w:tabs>
        <w:spacing w:line="240" w:lineRule="auto" w:before="72" w:after="0"/>
        <w:ind w:left="2280" w:right="0" w:hanging="360"/>
        <w:jc w:val="left"/>
        <w:rPr>
          <w:sz w:val="24"/>
        </w:rPr>
      </w:pPr>
      <w:r>
        <w:rPr>
          <w:sz w:val="24"/>
        </w:rPr>
        <w:t>Cost</w:t>
      </w:r>
    </w:p>
    <w:p>
      <w:pPr>
        <w:pStyle w:val="BodyText"/>
        <w:spacing w:before="13"/>
        <w:rPr>
          <w:sz w:val="32"/>
        </w:rPr>
      </w:pPr>
    </w:p>
    <w:p>
      <w:pPr>
        <w:pStyle w:val="ListParagraph"/>
        <w:numPr>
          <w:ilvl w:val="2"/>
          <w:numId w:val="1"/>
        </w:numPr>
        <w:tabs>
          <w:tab w:pos="841" w:val="left" w:leader="none"/>
        </w:tabs>
        <w:spacing w:line="240" w:lineRule="auto" w:before="1" w:after="0"/>
        <w:ind w:left="840" w:right="0" w:hanging="360"/>
        <w:jc w:val="left"/>
        <w:rPr>
          <w:sz w:val="24"/>
        </w:rPr>
      </w:pPr>
      <w:r>
        <w:rPr>
          <w:sz w:val="24"/>
        </w:rPr>
        <w:t>Limiting Criteria </w:t>
      </w:r>
      <w:r>
        <w:rPr>
          <w:spacing w:val="-3"/>
          <w:sz w:val="24"/>
        </w:rPr>
        <w:t>(MANDATORY</w:t>
      </w:r>
      <w:r>
        <w:rPr>
          <w:spacing w:val="-16"/>
          <w:sz w:val="24"/>
        </w:rPr>
        <w:t> </w:t>
      </w:r>
      <w:r>
        <w:rPr>
          <w:spacing w:val="-3"/>
          <w:sz w:val="24"/>
        </w:rPr>
        <w:t>REQUIREMENTS)</w:t>
      </w:r>
    </w:p>
    <w:p>
      <w:pPr>
        <w:pStyle w:val="ListParagraph"/>
        <w:numPr>
          <w:ilvl w:val="1"/>
          <w:numId w:val="5"/>
        </w:numPr>
        <w:tabs>
          <w:tab w:pos="1704" w:val="left" w:leader="none"/>
          <w:tab w:pos="1705" w:val="left" w:leader="none"/>
        </w:tabs>
        <w:spacing w:line="319" w:lineRule="exact" w:before="66" w:after="0"/>
        <w:ind w:left="1704" w:right="0" w:hanging="720"/>
        <w:jc w:val="left"/>
        <w:rPr>
          <w:sz w:val="24"/>
        </w:rPr>
      </w:pPr>
      <w:r>
        <w:rPr>
          <w:sz w:val="24"/>
        </w:rPr>
        <w:t>Respondent must comply with the following:</w:t>
      </w:r>
    </w:p>
    <w:p>
      <w:pPr>
        <w:pStyle w:val="ListParagraph"/>
        <w:numPr>
          <w:ilvl w:val="2"/>
          <w:numId w:val="5"/>
        </w:numPr>
        <w:tabs>
          <w:tab w:pos="2425" w:val="left" w:leader="none"/>
        </w:tabs>
        <w:spacing w:line="293" w:lineRule="exact" w:before="0" w:after="0"/>
        <w:ind w:left="2424" w:right="0" w:hanging="360"/>
        <w:jc w:val="left"/>
        <w:rPr>
          <w:sz w:val="24"/>
        </w:rPr>
      </w:pPr>
      <w:r>
        <w:rPr>
          <w:sz w:val="24"/>
        </w:rPr>
        <w:t>Registered to practice in the State of</w:t>
      </w:r>
      <w:r>
        <w:rPr>
          <w:spacing w:val="-4"/>
          <w:sz w:val="24"/>
        </w:rPr>
        <w:t> </w:t>
      </w:r>
      <w:r>
        <w:rPr>
          <w:sz w:val="24"/>
        </w:rPr>
        <w:t>Missouri</w:t>
      </w:r>
    </w:p>
    <w:p>
      <w:pPr>
        <w:pStyle w:val="ListParagraph"/>
        <w:numPr>
          <w:ilvl w:val="2"/>
          <w:numId w:val="5"/>
        </w:numPr>
        <w:tabs>
          <w:tab w:pos="2425" w:val="left" w:leader="none"/>
        </w:tabs>
        <w:spacing w:line="319" w:lineRule="exact" w:before="0" w:after="0"/>
        <w:ind w:left="2424" w:right="0" w:hanging="360"/>
        <w:jc w:val="left"/>
        <w:rPr>
          <w:sz w:val="24"/>
        </w:rPr>
      </w:pPr>
      <w:r>
        <w:rPr>
          <w:sz w:val="24"/>
        </w:rPr>
        <w:t>Maintain office(s) in the State of</w:t>
      </w:r>
      <w:r>
        <w:rPr>
          <w:spacing w:val="-3"/>
          <w:sz w:val="24"/>
        </w:rPr>
        <w:t> </w:t>
      </w:r>
      <w:r>
        <w:rPr>
          <w:sz w:val="24"/>
        </w:rPr>
        <w:t>Missouri</w:t>
      </w:r>
    </w:p>
    <w:p>
      <w:pPr>
        <w:pStyle w:val="BodyText"/>
        <w:spacing w:before="10"/>
        <w:rPr>
          <w:sz w:val="16"/>
        </w:rPr>
      </w:pPr>
    </w:p>
    <w:p>
      <w:pPr>
        <w:pStyle w:val="BodyText"/>
        <w:tabs>
          <w:tab w:pos="3151" w:val="left" w:leader="none"/>
        </w:tabs>
        <w:ind w:left="1704"/>
      </w:pPr>
      <w:r>
        <w:rPr/>
        <w:t>Yes or</w:t>
      </w:r>
      <w:r>
        <w:rPr>
          <w:spacing w:val="-5"/>
        </w:rPr>
        <w:t> </w:t>
      </w:r>
      <w:r>
        <w:rPr/>
        <w:t>No</w:t>
      </w:r>
      <w:r>
        <w:rPr>
          <w:u w:val="single"/>
        </w:rPr>
        <w:t> </w:t>
        <w:tab/>
      </w:r>
    </w:p>
    <w:p>
      <w:pPr>
        <w:pStyle w:val="BodyText"/>
        <w:spacing w:before="1"/>
        <w:rPr>
          <w:sz w:val="25"/>
        </w:rPr>
      </w:pPr>
    </w:p>
    <w:p>
      <w:pPr>
        <w:pStyle w:val="ListParagraph"/>
        <w:numPr>
          <w:ilvl w:val="1"/>
          <w:numId w:val="5"/>
        </w:numPr>
        <w:tabs>
          <w:tab w:pos="1670" w:val="left" w:leader="none"/>
          <w:tab w:pos="1671" w:val="left" w:leader="none"/>
          <w:tab w:pos="3151" w:val="left" w:leader="none"/>
        </w:tabs>
        <w:spacing w:line="285" w:lineRule="auto" w:before="0" w:after="0"/>
        <w:ind w:left="1704" w:right="2035" w:hanging="758"/>
        <w:jc w:val="left"/>
        <w:rPr>
          <w:sz w:val="24"/>
        </w:rPr>
      </w:pPr>
      <w:r>
        <w:rPr>
          <w:sz w:val="24"/>
        </w:rPr>
        <w:t>Respondent must have three-year’ experience in manufacturing of</w:t>
      </w:r>
      <w:r>
        <w:rPr>
          <w:spacing w:val="-25"/>
          <w:sz w:val="24"/>
        </w:rPr>
        <w:t> </w:t>
      </w:r>
      <w:r>
        <w:rPr>
          <w:sz w:val="24"/>
        </w:rPr>
        <w:t>casework. Yes or</w:t>
      </w:r>
      <w:r>
        <w:rPr>
          <w:spacing w:val="-5"/>
          <w:sz w:val="24"/>
        </w:rPr>
        <w:t> </w:t>
      </w:r>
      <w:r>
        <w:rPr>
          <w:sz w:val="24"/>
        </w:rPr>
        <w:t>No</w:t>
      </w:r>
      <w:r>
        <w:rPr>
          <w:sz w:val="24"/>
          <w:u w:val="single"/>
        </w:rPr>
        <w:t> </w:t>
        <w:tab/>
      </w:r>
    </w:p>
    <w:p>
      <w:pPr>
        <w:pStyle w:val="BodyText"/>
        <w:spacing w:before="2"/>
        <w:rPr>
          <w:sz w:val="12"/>
        </w:rPr>
      </w:pPr>
    </w:p>
    <w:p>
      <w:pPr>
        <w:pStyle w:val="ListParagraph"/>
        <w:numPr>
          <w:ilvl w:val="1"/>
          <w:numId w:val="5"/>
        </w:numPr>
        <w:tabs>
          <w:tab w:pos="1704" w:val="left" w:leader="none"/>
          <w:tab w:pos="1705" w:val="left" w:leader="none"/>
        </w:tabs>
        <w:spacing w:line="204" w:lineRule="auto" w:before="41" w:after="0"/>
        <w:ind w:left="1704" w:right="486" w:hanging="720"/>
        <w:jc w:val="left"/>
        <w:rPr>
          <w:sz w:val="24"/>
        </w:rPr>
      </w:pPr>
      <w:r>
        <w:rPr>
          <w:sz w:val="24"/>
        </w:rPr>
        <w:t>Respondents must the ability to manufacture, delivery, and Installation is required including coordination with owner selected contractor for utilities and/or related work associated with the wood casework, as describe below in the “Standard Detailed</w:t>
      </w:r>
      <w:r>
        <w:rPr>
          <w:spacing w:val="-9"/>
          <w:sz w:val="24"/>
        </w:rPr>
        <w:t> </w:t>
      </w:r>
      <w:r>
        <w:rPr>
          <w:sz w:val="24"/>
        </w:rPr>
        <w:t>Specifications”.</w:t>
      </w:r>
    </w:p>
    <w:p>
      <w:pPr>
        <w:pStyle w:val="BodyText"/>
        <w:spacing w:before="4"/>
        <w:rPr>
          <w:sz w:val="17"/>
        </w:rPr>
      </w:pPr>
    </w:p>
    <w:p>
      <w:pPr>
        <w:pStyle w:val="BodyText"/>
        <w:tabs>
          <w:tab w:pos="3151" w:val="left" w:leader="none"/>
        </w:tabs>
        <w:ind w:left="1704"/>
      </w:pPr>
      <w:r>
        <w:rPr/>
        <w:t>Yes or</w:t>
      </w:r>
      <w:r>
        <w:rPr>
          <w:spacing w:val="-5"/>
        </w:rPr>
        <w:t> </w:t>
      </w:r>
      <w:r>
        <w:rPr/>
        <w:t>No</w:t>
      </w:r>
      <w:r>
        <w:rPr>
          <w:u w:val="single"/>
        </w:rPr>
        <w:t> </w:t>
        <w:tab/>
      </w:r>
    </w:p>
    <w:p>
      <w:pPr>
        <w:pStyle w:val="BodyText"/>
        <w:spacing w:before="11"/>
        <w:rPr>
          <w:sz w:val="16"/>
        </w:rPr>
      </w:pPr>
    </w:p>
    <w:p>
      <w:pPr>
        <w:pStyle w:val="ListParagraph"/>
        <w:numPr>
          <w:ilvl w:val="1"/>
          <w:numId w:val="5"/>
        </w:numPr>
        <w:tabs>
          <w:tab w:pos="1704" w:val="left" w:leader="none"/>
          <w:tab w:pos="1705" w:val="left" w:leader="none"/>
        </w:tabs>
        <w:spacing w:line="204" w:lineRule="auto" w:before="41" w:after="0"/>
        <w:ind w:left="1704" w:right="566" w:hanging="720"/>
        <w:jc w:val="left"/>
        <w:rPr>
          <w:sz w:val="24"/>
        </w:rPr>
      </w:pPr>
      <w:r>
        <w:rPr>
          <w:sz w:val="24"/>
        </w:rPr>
        <w:t>Respondents must be capable of producing shop drawings requires field measurements and verification, and samples for review for each specific order based upon the architect’s construction documents related to the</w:t>
      </w:r>
      <w:r>
        <w:rPr>
          <w:spacing w:val="-2"/>
          <w:sz w:val="24"/>
        </w:rPr>
        <w:t> </w:t>
      </w:r>
      <w:r>
        <w:rPr>
          <w:sz w:val="24"/>
        </w:rPr>
        <w:t>job.</w:t>
      </w:r>
    </w:p>
    <w:p>
      <w:pPr>
        <w:pStyle w:val="BodyText"/>
        <w:spacing w:before="1"/>
        <w:rPr>
          <w:sz w:val="17"/>
        </w:rPr>
      </w:pPr>
    </w:p>
    <w:p>
      <w:pPr>
        <w:pStyle w:val="BodyText"/>
        <w:tabs>
          <w:tab w:pos="3151" w:val="left" w:leader="none"/>
        </w:tabs>
        <w:ind w:left="1704"/>
      </w:pPr>
      <w:r>
        <w:rPr/>
        <w:t>Yes or</w:t>
      </w:r>
      <w:r>
        <w:rPr>
          <w:spacing w:val="-5"/>
        </w:rPr>
        <w:t> </w:t>
      </w:r>
      <w:r>
        <w:rPr/>
        <w:t>No</w:t>
      </w:r>
      <w:r>
        <w:rPr>
          <w:u w:val="single"/>
        </w:rPr>
        <w:t> </w:t>
        <w:tab/>
      </w:r>
    </w:p>
    <w:p>
      <w:pPr>
        <w:pStyle w:val="BodyText"/>
        <w:spacing w:before="11"/>
        <w:rPr>
          <w:sz w:val="16"/>
        </w:rPr>
      </w:pPr>
    </w:p>
    <w:p>
      <w:pPr>
        <w:pStyle w:val="ListParagraph"/>
        <w:numPr>
          <w:ilvl w:val="1"/>
          <w:numId w:val="5"/>
        </w:numPr>
        <w:tabs>
          <w:tab w:pos="1704" w:val="left" w:leader="none"/>
          <w:tab w:pos="1705" w:val="left" w:leader="none"/>
        </w:tabs>
        <w:spacing w:line="204" w:lineRule="auto" w:before="41" w:after="0"/>
        <w:ind w:left="1704" w:right="270" w:hanging="720"/>
        <w:jc w:val="left"/>
        <w:rPr>
          <w:sz w:val="24"/>
        </w:rPr>
      </w:pPr>
      <w:r>
        <w:rPr>
          <w:sz w:val="24"/>
        </w:rPr>
        <w:t>Respondents must provide the skill and ability to manufacture, deliver and install case goods as outline in Exhibit A, Standard</w:t>
      </w:r>
      <w:r>
        <w:rPr>
          <w:spacing w:val="-3"/>
          <w:sz w:val="24"/>
        </w:rPr>
        <w:t> </w:t>
      </w:r>
      <w:r>
        <w:rPr>
          <w:sz w:val="24"/>
        </w:rPr>
        <w:t>Specifications.</w:t>
      </w:r>
    </w:p>
    <w:p>
      <w:pPr>
        <w:pStyle w:val="BodyText"/>
        <w:spacing w:before="5"/>
        <w:rPr>
          <w:sz w:val="17"/>
        </w:rPr>
      </w:pPr>
    </w:p>
    <w:p>
      <w:pPr>
        <w:pStyle w:val="BodyText"/>
        <w:tabs>
          <w:tab w:pos="3151" w:val="left" w:leader="none"/>
        </w:tabs>
        <w:ind w:left="1704"/>
      </w:pPr>
      <w:r>
        <w:rPr/>
        <w:t>Yes or</w:t>
      </w:r>
      <w:r>
        <w:rPr>
          <w:spacing w:val="-5"/>
        </w:rPr>
        <w:t> </w:t>
      </w:r>
      <w:r>
        <w:rPr/>
        <w:t>No</w:t>
      </w:r>
      <w:r>
        <w:rPr>
          <w:u w:val="single"/>
        </w:rPr>
        <w:t> </w:t>
        <w:tab/>
      </w:r>
    </w:p>
    <w:p>
      <w:pPr>
        <w:pStyle w:val="BodyText"/>
        <w:spacing w:before="10"/>
        <w:rPr>
          <w:sz w:val="16"/>
        </w:rPr>
      </w:pPr>
    </w:p>
    <w:p>
      <w:pPr>
        <w:pStyle w:val="ListParagraph"/>
        <w:numPr>
          <w:ilvl w:val="1"/>
          <w:numId w:val="5"/>
        </w:numPr>
        <w:tabs>
          <w:tab w:pos="1704" w:val="left" w:leader="none"/>
          <w:tab w:pos="1705" w:val="left" w:leader="none"/>
        </w:tabs>
        <w:spacing w:line="204" w:lineRule="auto" w:before="41" w:after="0"/>
        <w:ind w:left="1704" w:right="478" w:hanging="720"/>
        <w:jc w:val="left"/>
        <w:rPr>
          <w:sz w:val="24"/>
        </w:rPr>
      </w:pPr>
      <w:r>
        <w:rPr>
          <w:sz w:val="24"/>
        </w:rPr>
        <w:t>Respondent must provide and comply with University of Missouri Insurance Requirements</w:t>
      </w:r>
      <w:r>
        <w:rPr>
          <w:spacing w:val="-37"/>
          <w:sz w:val="24"/>
        </w:rPr>
        <w:t> </w:t>
      </w:r>
      <w:r>
        <w:rPr>
          <w:sz w:val="24"/>
        </w:rPr>
        <w:t>as outlined:</w:t>
      </w:r>
    </w:p>
    <w:p>
      <w:pPr>
        <w:pStyle w:val="BodyText"/>
        <w:spacing w:before="3"/>
        <w:rPr>
          <w:sz w:val="20"/>
        </w:rPr>
      </w:pPr>
    </w:p>
    <w:p>
      <w:pPr>
        <w:pStyle w:val="BodyText"/>
        <w:spacing w:line="204" w:lineRule="auto"/>
        <w:ind w:left="1704" w:right="469"/>
      </w:pPr>
      <w:r>
        <w:rPr/>
        <w:t>INSURANCE: If the bidder has provided a bid including installation, and installation is determined to be necessary by the University, the following insurance requirements must be met BEFORE the Contractor will be allowed on University premises to install the equipment.</w:t>
      </w:r>
    </w:p>
    <w:p>
      <w:pPr>
        <w:pStyle w:val="BodyText"/>
        <w:spacing w:before="1"/>
        <w:rPr>
          <w:sz w:val="17"/>
        </w:rPr>
      </w:pPr>
    </w:p>
    <w:p>
      <w:pPr>
        <w:pStyle w:val="ListParagraph"/>
        <w:numPr>
          <w:ilvl w:val="0"/>
          <w:numId w:val="6"/>
        </w:numPr>
        <w:tabs>
          <w:tab w:pos="1796" w:val="left" w:leader="none"/>
        </w:tabs>
        <w:spacing w:line="240" w:lineRule="auto" w:before="1" w:after="0"/>
        <w:ind w:left="1795" w:right="0" w:hanging="235"/>
        <w:jc w:val="left"/>
        <w:rPr>
          <w:sz w:val="24"/>
        </w:rPr>
      </w:pPr>
      <w:r>
        <w:rPr>
          <w:sz w:val="24"/>
        </w:rPr>
        <w:t>Coverage to be provided as follows by a carrier with A.M. Best minimum rating of A-</w:t>
      </w:r>
      <w:r>
        <w:rPr>
          <w:spacing w:val="-13"/>
          <w:sz w:val="24"/>
        </w:rPr>
        <w:t> </w:t>
      </w:r>
      <w:r>
        <w:rPr>
          <w:sz w:val="24"/>
        </w:rPr>
        <w:t>XI:</w:t>
      </w:r>
    </w:p>
    <w:p>
      <w:pPr>
        <w:spacing w:after="0" w:line="240" w:lineRule="auto"/>
        <w:jc w:val="left"/>
        <w:rPr>
          <w:sz w:val="24"/>
        </w:rPr>
        <w:sectPr>
          <w:pgSz w:w="12240" w:h="15840"/>
          <w:pgMar w:header="0" w:footer="894" w:top="680" w:bottom="1120" w:left="600" w:right="500"/>
        </w:sectPr>
      </w:pPr>
    </w:p>
    <w:p>
      <w:pPr>
        <w:pStyle w:val="BodyText"/>
        <w:spacing w:line="306" w:lineRule="exact"/>
        <w:ind w:left="1704"/>
      </w:pPr>
      <w:r>
        <w:rPr>
          <w:u w:val="single"/>
        </w:rPr>
        <w:t>Coverage, Minimum Limits:</w:t>
      </w:r>
    </w:p>
    <w:p>
      <w:pPr>
        <w:pStyle w:val="BodyText"/>
        <w:spacing w:line="204" w:lineRule="auto" w:before="15"/>
        <w:ind w:left="1704" w:right="6003"/>
      </w:pPr>
      <w:r>
        <w:rPr/>
        <w:t>Workers Compensation: Statutory Employers Liability: $500,000</w:t>
      </w:r>
    </w:p>
    <w:p>
      <w:pPr>
        <w:pStyle w:val="BodyText"/>
        <w:spacing w:line="275" w:lineRule="exact"/>
        <w:ind w:left="1704"/>
      </w:pPr>
      <w:r>
        <w:rPr/>
        <w:t>Auto Liability (To include Owned, Hired, and Non-owned):</w:t>
      </w:r>
    </w:p>
    <w:p>
      <w:pPr>
        <w:pStyle w:val="BodyText"/>
        <w:spacing w:line="204" w:lineRule="auto" w:before="16"/>
        <w:ind w:left="1704" w:right="1922"/>
      </w:pPr>
      <w:r>
        <w:rPr/>
        <w:t>$1,000,000 Combined Single Limit, Per Occurrence and $3,000,000 Aggregate Commercial General Liability (Commercial Form MUST include:</w:t>
      </w:r>
    </w:p>
    <w:p>
      <w:pPr>
        <w:pStyle w:val="BodyText"/>
        <w:spacing w:line="204" w:lineRule="auto"/>
        <w:ind w:left="1704" w:right="1482"/>
      </w:pPr>
      <w:r>
        <w:rPr/>
        <w:t>Premises &amp; Operations, </w:t>
      </w:r>
      <w:r>
        <w:rPr>
          <w:spacing w:val="-3"/>
        </w:rPr>
        <w:t>Contractual, </w:t>
      </w:r>
      <w:r>
        <w:rPr/>
        <w:t>and </w:t>
      </w:r>
      <w:r>
        <w:rPr>
          <w:spacing w:val="-3"/>
        </w:rPr>
        <w:t>Products/completed Operations Exposure) Occurrence coverage </w:t>
      </w:r>
      <w:r>
        <w:rPr/>
        <w:t>is </w:t>
      </w:r>
      <w:r>
        <w:rPr>
          <w:spacing w:val="-3"/>
        </w:rPr>
        <w:t>required:</w:t>
      </w:r>
    </w:p>
    <w:p>
      <w:pPr>
        <w:pStyle w:val="BodyText"/>
        <w:spacing w:line="304" w:lineRule="exact"/>
        <w:ind w:left="1704"/>
      </w:pPr>
      <w:r>
        <w:rPr/>
        <w:t>$1,000,000 Combined Single Limit, Per Occurrence and $3,000,000 Aggregate</w:t>
      </w:r>
    </w:p>
    <w:p>
      <w:pPr>
        <w:pStyle w:val="BodyText"/>
      </w:pPr>
    </w:p>
    <w:p>
      <w:pPr>
        <w:pStyle w:val="BodyText"/>
        <w:spacing w:before="10"/>
        <w:rPr>
          <w:sz w:val="15"/>
        </w:rPr>
      </w:pPr>
    </w:p>
    <w:p>
      <w:pPr>
        <w:pStyle w:val="ListParagraph"/>
        <w:numPr>
          <w:ilvl w:val="0"/>
          <w:numId w:val="6"/>
        </w:numPr>
        <w:tabs>
          <w:tab w:pos="1704" w:val="left" w:leader="none"/>
          <w:tab w:pos="1705" w:val="left" w:leader="none"/>
        </w:tabs>
        <w:spacing w:line="204" w:lineRule="auto" w:before="0" w:after="0"/>
        <w:ind w:left="1704" w:right="405" w:hanging="720"/>
        <w:jc w:val="left"/>
        <w:rPr>
          <w:sz w:val="24"/>
        </w:rPr>
      </w:pPr>
      <w:r>
        <w:rPr>
          <w:sz w:val="24"/>
        </w:rPr>
        <w:t>The Curators of the University of Missouri, its officers, employees and agents are to be Additional Insured with respect to the project to which these insurance requirements</w:t>
      </w:r>
      <w:r>
        <w:rPr>
          <w:spacing w:val="-24"/>
          <w:sz w:val="24"/>
        </w:rPr>
        <w:t> </w:t>
      </w:r>
      <w:r>
        <w:rPr>
          <w:sz w:val="24"/>
        </w:rPr>
        <w:t>pertain. A certificate of insurance evidencing all coverage required is to be provided at least 10 days prior to the inception date of the contract between the contractor and the University. The University must receive at least 10 days advance notice in the event of policy cancellation or material change to the</w:t>
      </w:r>
      <w:r>
        <w:rPr>
          <w:spacing w:val="-2"/>
          <w:sz w:val="24"/>
        </w:rPr>
        <w:t> </w:t>
      </w:r>
      <w:r>
        <w:rPr>
          <w:sz w:val="24"/>
        </w:rPr>
        <w:t>policy.</w:t>
      </w:r>
    </w:p>
    <w:p>
      <w:pPr>
        <w:pStyle w:val="BodyText"/>
        <w:spacing w:before="12"/>
        <w:rPr>
          <w:sz w:val="19"/>
        </w:rPr>
      </w:pPr>
    </w:p>
    <w:p>
      <w:pPr>
        <w:pStyle w:val="ListParagraph"/>
        <w:numPr>
          <w:ilvl w:val="0"/>
          <w:numId w:val="6"/>
        </w:numPr>
        <w:tabs>
          <w:tab w:pos="1704" w:val="left" w:leader="none"/>
          <w:tab w:pos="1705" w:val="left" w:leader="none"/>
        </w:tabs>
        <w:spacing w:line="204" w:lineRule="auto" w:before="0" w:after="0"/>
        <w:ind w:left="1704" w:right="656" w:hanging="720"/>
        <w:jc w:val="left"/>
        <w:rPr>
          <w:sz w:val="24"/>
        </w:rPr>
      </w:pPr>
      <w:r>
        <w:rPr>
          <w:sz w:val="24"/>
        </w:rPr>
        <w:t>The University reserves the right to require higher limits on any contract provided notice of such requirement is stated in the request for bids for such</w:t>
      </w:r>
      <w:r>
        <w:rPr>
          <w:spacing w:val="-4"/>
          <w:sz w:val="24"/>
        </w:rPr>
        <w:t> </w:t>
      </w:r>
      <w:r>
        <w:rPr>
          <w:sz w:val="24"/>
        </w:rPr>
        <w:t>contract.</w:t>
      </w:r>
    </w:p>
    <w:p>
      <w:pPr>
        <w:pStyle w:val="BodyText"/>
        <w:spacing w:before="2"/>
        <w:rPr>
          <w:sz w:val="20"/>
        </w:rPr>
      </w:pPr>
    </w:p>
    <w:p>
      <w:pPr>
        <w:pStyle w:val="ListParagraph"/>
        <w:numPr>
          <w:ilvl w:val="0"/>
          <w:numId w:val="6"/>
        </w:numPr>
        <w:tabs>
          <w:tab w:pos="1704" w:val="left" w:leader="none"/>
          <w:tab w:pos="1705" w:val="left" w:leader="none"/>
        </w:tabs>
        <w:spacing w:line="204" w:lineRule="auto" w:before="0" w:after="0"/>
        <w:ind w:left="1704" w:right="467" w:hanging="720"/>
        <w:jc w:val="left"/>
        <w:rPr>
          <w:sz w:val="24"/>
        </w:rPr>
      </w:pPr>
      <w:r>
        <w:rPr>
          <w:sz w:val="24"/>
        </w:rPr>
        <w:t>Failure to maintain the required insurance in force may be cause for contract termination.</w:t>
      </w:r>
      <w:r>
        <w:rPr>
          <w:spacing w:val="28"/>
          <w:sz w:val="24"/>
        </w:rPr>
        <w:t> </w:t>
      </w:r>
      <w:r>
        <w:rPr>
          <w:spacing w:val="2"/>
          <w:sz w:val="24"/>
        </w:rPr>
        <w:t>In </w:t>
      </w:r>
      <w:r>
        <w:rPr>
          <w:sz w:val="24"/>
        </w:rPr>
        <w:t>the event the Contractor fails to maintain and keep in force the required insurance, the University shall have the right to cancel and terminate the contract without</w:t>
      </w:r>
      <w:r>
        <w:rPr>
          <w:spacing w:val="-9"/>
          <w:sz w:val="24"/>
        </w:rPr>
        <w:t> </w:t>
      </w:r>
      <w:r>
        <w:rPr>
          <w:sz w:val="24"/>
        </w:rPr>
        <w:t>notice.</w:t>
      </w:r>
    </w:p>
    <w:p>
      <w:pPr>
        <w:pStyle w:val="BodyText"/>
        <w:spacing w:before="3"/>
        <w:rPr>
          <w:sz w:val="20"/>
        </w:rPr>
      </w:pPr>
    </w:p>
    <w:p>
      <w:pPr>
        <w:pStyle w:val="ListParagraph"/>
        <w:numPr>
          <w:ilvl w:val="0"/>
          <w:numId w:val="6"/>
        </w:numPr>
        <w:tabs>
          <w:tab w:pos="1704" w:val="left" w:leader="none"/>
          <w:tab w:pos="1705" w:val="left" w:leader="none"/>
        </w:tabs>
        <w:spacing w:line="204" w:lineRule="auto" w:before="0" w:after="0"/>
        <w:ind w:left="1704" w:right="267" w:hanging="720"/>
        <w:jc w:val="left"/>
        <w:rPr>
          <w:sz w:val="24"/>
        </w:rPr>
      </w:pPr>
      <w:r>
        <w:rPr>
          <w:sz w:val="24"/>
        </w:rPr>
        <w:t>The insurance required by the provisions of this article is required in the public interest and the University does not assume any liability for acts of the Contractor, any Subcontractor, or their employees in the performance of the</w:t>
      </w:r>
      <w:r>
        <w:rPr>
          <w:spacing w:val="-2"/>
          <w:sz w:val="24"/>
        </w:rPr>
        <w:t> </w:t>
      </w:r>
      <w:r>
        <w:rPr>
          <w:sz w:val="24"/>
        </w:rPr>
        <w:t>contract.</w:t>
      </w:r>
    </w:p>
    <w:p>
      <w:pPr>
        <w:pStyle w:val="BodyText"/>
        <w:spacing w:before="2"/>
        <w:rPr>
          <w:sz w:val="17"/>
        </w:rPr>
      </w:pPr>
    </w:p>
    <w:p>
      <w:pPr>
        <w:pStyle w:val="BodyText"/>
        <w:tabs>
          <w:tab w:pos="2676" w:val="left" w:leader="none"/>
          <w:tab w:pos="3607" w:val="left" w:leader="none"/>
        </w:tabs>
        <w:spacing w:before="1"/>
        <w:ind w:left="1704"/>
      </w:pPr>
      <w:r>
        <w:rPr/>
        <w:t>Yes</w:t>
      </w:r>
      <w:r>
        <w:rPr>
          <w:u w:val="single"/>
        </w:rPr>
        <w:t> </w:t>
        <w:tab/>
      </w:r>
      <w:r>
        <w:rPr/>
        <w:t>No</w:t>
      </w:r>
      <w:r>
        <w:rPr>
          <w:u w:val="single"/>
        </w:rPr>
        <w:t> </w:t>
        <w:tab/>
      </w:r>
    </w:p>
    <w:p>
      <w:pPr>
        <w:pStyle w:val="BodyText"/>
        <w:rPr>
          <w:sz w:val="20"/>
        </w:rPr>
      </w:pPr>
    </w:p>
    <w:p>
      <w:pPr>
        <w:pStyle w:val="BodyText"/>
        <w:spacing w:before="12"/>
        <w:rPr>
          <w:sz w:val="16"/>
        </w:rPr>
      </w:pPr>
    </w:p>
    <w:p>
      <w:pPr>
        <w:pStyle w:val="ListParagraph"/>
        <w:numPr>
          <w:ilvl w:val="2"/>
          <w:numId w:val="1"/>
        </w:numPr>
        <w:tabs>
          <w:tab w:pos="841" w:val="left" w:leader="none"/>
        </w:tabs>
        <w:spacing w:line="345" w:lineRule="exact" w:before="0" w:after="0"/>
        <w:ind w:left="840" w:right="0" w:hanging="360"/>
        <w:jc w:val="left"/>
        <w:rPr>
          <w:sz w:val="24"/>
        </w:rPr>
      </w:pPr>
      <w:r>
        <w:rPr>
          <w:sz w:val="24"/>
        </w:rPr>
        <w:t>Desirable </w:t>
      </w:r>
      <w:r>
        <w:rPr>
          <w:spacing w:val="-2"/>
          <w:sz w:val="24"/>
        </w:rPr>
        <w:t>Questions</w:t>
      </w:r>
      <w:r>
        <w:rPr>
          <w:spacing w:val="-10"/>
          <w:sz w:val="24"/>
        </w:rPr>
        <w:t> </w:t>
      </w:r>
      <w:r>
        <w:rPr>
          <w:sz w:val="24"/>
        </w:rPr>
        <w:t>(Evaluation)</w:t>
      </w:r>
    </w:p>
    <w:p>
      <w:pPr>
        <w:pStyle w:val="ListParagraph"/>
        <w:numPr>
          <w:ilvl w:val="1"/>
          <w:numId w:val="7"/>
        </w:numPr>
        <w:tabs>
          <w:tab w:pos="1561" w:val="left" w:leader="none"/>
        </w:tabs>
        <w:spacing w:line="218" w:lineRule="auto" w:before="157" w:after="0"/>
        <w:ind w:left="1560" w:right="577" w:hanging="720"/>
        <w:jc w:val="both"/>
        <w:rPr>
          <w:sz w:val="24"/>
        </w:rPr>
      </w:pPr>
      <w:r>
        <w:rPr>
          <w:sz w:val="24"/>
        </w:rPr>
        <w:t>List a minimum of 3-commerical clients in which the respondent has manufactured,</w:t>
      </w:r>
      <w:r>
        <w:rPr>
          <w:spacing w:val="-28"/>
          <w:sz w:val="24"/>
        </w:rPr>
        <w:t> </w:t>
      </w:r>
      <w:r>
        <w:rPr>
          <w:sz w:val="24"/>
        </w:rPr>
        <w:t>delivered and installed custom case goods. Include; Company name, contact name, address, telephone number, email address and number of years you have worked for</w:t>
      </w:r>
      <w:r>
        <w:rPr>
          <w:spacing w:val="-5"/>
          <w:sz w:val="24"/>
        </w:rPr>
        <w:t> </w:t>
      </w:r>
      <w:r>
        <w:rPr>
          <w:sz w:val="24"/>
        </w:rPr>
        <w:t>each.</w:t>
      </w:r>
    </w:p>
    <w:p>
      <w:pPr>
        <w:pStyle w:val="ListParagraph"/>
        <w:numPr>
          <w:ilvl w:val="1"/>
          <w:numId w:val="7"/>
        </w:numPr>
        <w:tabs>
          <w:tab w:pos="1560" w:val="left" w:leader="none"/>
          <w:tab w:pos="1561" w:val="left" w:leader="none"/>
        </w:tabs>
        <w:spacing w:line="240" w:lineRule="auto" w:before="139" w:after="0"/>
        <w:ind w:left="1560" w:right="0" w:hanging="720"/>
        <w:jc w:val="left"/>
        <w:rPr>
          <w:sz w:val="24"/>
        </w:rPr>
      </w:pPr>
      <w:r>
        <w:rPr>
          <w:sz w:val="24"/>
        </w:rPr>
        <w:t>Provide evidence of quality of work</w:t>
      </w:r>
      <w:r>
        <w:rPr>
          <w:spacing w:val="-3"/>
          <w:sz w:val="24"/>
        </w:rPr>
        <w:t> </w:t>
      </w:r>
      <w:r>
        <w:rPr>
          <w:sz w:val="24"/>
        </w:rPr>
        <w:t>/workmanship.</w:t>
      </w:r>
    </w:p>
    <w:p>
      <w:pPr>
        <w:pStyle w:val="ListParagraph"/>
        <w:numPr>
          <w:ilvl w:val="1"/>
          <w:numId w:val="7"/>
        </w:numPr>
        <w:tabs>
          <w:tab w:pos="1560" w:val="left" w:leader="none"/>
          <w:tab w:pos="1561" w:val="left" w:leader="none"/>
        </w:tabs>
        <w:spacing w:line="218" w:lineRule="auto" w:before="155" w:after="0"/>
        <w:ind w:left="1560" w:right="298" w:hanging="720"/>
        <w:jc w:val="left"/>
        <w:rPr>
          <w:sz w:val="24"/>
        </w:rPr>
      </w:pPr>
      <w:r>
        <w:rPr>
          <w:sz w:val="24"/>
        </w:rPr>
        <w:t>List all certifications, education, training, and or trade certifications for staff that will be assigned to the University of Missouri projects. Include years of experience, certifications and skills for each.</w:t>
      </w:r>
    </w:p>
    <w:p>
      <w:pPr>
        <w:pStyle w:val="ListParagraph"/>
        <w:numPr>
          <w:ilvl w:val="1"/>
          <w:numId w:val="7"/>
        </w:numPr>
        <w:tabs>
          <w:tab w:pos="1560" w:val="left" w:leader="none"/>
          <w:tab w:pos="1561" w:val="left" w:leader="none"/>
        </w:tabs>
        <w:spacing w:line="240" w:lineRule="auto" w:before="139" w:after="0"/>
        <w:ind w:left="1560" w:right="0" w:hanging="720"/>
        <w:jc w:val="left"/>
        <w:rPr>
          <w:sz w:val="24"/>
        </w:rPr>
      </w:pPr>
      <w:r>
        <w:rPr>
          <w:sz w:val="24"/>
        </w:rPr>
        <w:t>Describe your area of expertise as it relates to this request for</w:t>
      </w:r>
      <w:r>
        <w:rPr>
          <w:spacing w:val="-4"/>
          <w:sz w:val="24"/>
        </w:rPr>
        <w:t> </w:t>
      </w:r>
      <w:r>
        <w:rPr>
          <w:sz w:val="24"/>
        </w:rPr>
        <w:t>proposal.</w:t>
      </w:r>
    </w:p>
    <w:p>
      <w:pPr>
        <w:spacing w:after="0" w:line="240" w:lineRule="auto"/>
        <w:jc w:val="left"/>
        <w:rPr>
          <w:sz w:val="24"/>
        </w:rPr>
        <w:sectPr>
          <w:pgSz w:w="12240" w:h="15840"/>
          <w:pgMar w:header="0" w:footer="894" w:top="680" w:bottom="1120" w:left="600" w:right="500"/>
        </w:sectPr>
      </w:pPr>
    </w:p>
    <w:p>
      <w:pPr>
        <w:pStyle w:val="ListParagraph"/>
        <w:numPr>
          <w:ilvl w:val="2"/>
          <w:numId w:val="1"/>
        </w:numPr>
        <w:tabs>
          <w:tab w:pos="841" w:val="left" w:leader="none"/>
        </w:tabs>
        <w:spacing w:line="330" w:lineRule="exact" w:before="0" w:after="0"/>
        <w:ind w:left="840" w:right="0" w:hanging="360"/>
        <w:jc w:val="left"/>
        <w:rPr>
          <w:sz w:val="24"/>
        </w:rPr>
      </w:pPr>
      <w:r>
        <w:rPr>
          <w:sz w:val="24"/>
        </w:rPr>
        <w:t>Pricing</w:t>
      </w:r>
      <w:r>
        <w:rPr>
          <w:spacing w:val="-7"/>
          <w:sz w:val="24"/>
        </w:rPr>
        <w:t> </w:t>
      </w:r>
      <w:r>
        <w:rPr>
          <w:sz w:val="24"/>
        </w:rPr>
        <w:t>(please</w:t>
      </w:r>
      <w:r>
        <w:rPr>
          <w:spacing w:val="-4"/>
          <w:sz w:val="24"/>
        </w:rPr>
        <w:t> </w:t>
      </w:r>
      <w:r>
        <w:rPr>
          <w:sz w:val="24"/>
        </w:rPr>
        <w:t>provide</w:t>
      </w:r>
      <w:r>
        <w:rPr>
          <w:spacing w:val="-6"/>
          <w:sz w:val="24"/>
        </w:rPr>
        <w:t> </w:t>
      </w:r>
      <w:r>
        <w:rPr>
          <w:sz w:val="24"/>
        </w:rPr>
        <w:t>a</w:t>
      </w:r>
      <w:r>
        <w:rPr>
          <w:spacing w:val="-5"/>
          <w:sz w:val="24"/>
        </w:rPr>
        <w:t> </w:t>
      </w:r>
      <w:r>
        <w:rPr>
          <w:sz w:val="24"/>
        </w:rPr>
        <w:t>cost</w:t>
      </w:r>
      <w:r>
        <w:rPr>
          <w:spacing w:val="-4"/>
          <w:sz w:val="24"/>
        </w:rPr>
        <w:t> </w:t>
      </w:r>
      <w:r>
        <w:rPr>
          <w:spacing w:val="-3"/>
          <w:sz w:val="24"/>
        </w:rPr>
        <w:t>estimate</w:t>
      </w:r>
      <w:r>
        <w:rPr>
          <w:spacing w:val="-4"/>
          <w:sz w:val="24"/>
        </w:rPr>
        <w:t> </w:t>
      </w:r>
      <w:r>
        <w:rPr>
          <w:sz w:val="24"/>
        </w:rPr>
        <w:t>for</w:t>
      </w:r>
      <w:r>
        <w:rPr>
          <w:spacing w:val="-7"/>
          <w:sz w:val="24"/>
        </w:rPr>
        <w:t> </w:t>
      </w:r>
      <w:r>
        <w:rPr>
          <w:sz w:val="24"/>
        </w:rPr>
        <w:t>the</w:t>
      </w:r>
      <w:r>
        <w:rPr>
          <w:spacing w:val="-4"/>
          <w:sz w:val="24"/>
        </w:rPr>
        <w:t> </w:t>
      </w:r>
      <w:r>
        <w:rPr>
          <w:sz w:val="24"/>
        </w:rPr>
        <w:t>following</w:t>
      </w:r>
      <w:r>
        <w:rPr>
          <w:spacing w:val="-5"/>
          <w:sz w:val="24"/>
        </w:rPr>
        <w:t> </w:t>
      </w:r>
      <w:r>
        <w:rPr>
          <w:sz w:val="24"/>
        </w:rPr>
        <w:t>“sample</w:t>
      </w:r>
      <w:r>
        <w:rPr>
          <w:spacing w:val="-4"/>
          <w:sz w:val="24"/>
        </w:rPr>
        <w:t> </w:t>
      </w:r>
      <w:r>
        <w:rPr>
          <w:spacing w:val="-3"/>
          <w:sz w:val="24"/>
        </w:rPr>
        <w:t>project below”)</w:t>
      </w:r>
    </w:p>
    <w:p>
      <w:pPr>
        <w:pStyle w:val="BodyText"/>
        <w:spacing w:before="129"/>
        <w:ind w:left="840"/>
      </w:pPr>
      <w:r>
        <w:rPr/>
        <w:t>**</w:t>
      </w:r>
      <w:r>
        <w:rPr>
          <w:rFonts w:ascii="Times New Roman"/>
          <w:sz w:val="20"/>
        </w:rPr>
        <w:t>* </w:t>
      </w:r>
      <w:r>
        <w:rPr/>
        <w:t>Alternate solutions, sizes, materials will be considered.</w:t>
      </w:r>
    </w:p>
    <w:p>
      <w:pPr>
        <w:pStyle w:val="BodyText"/>
        <w:spacing w:before="132"/>
        <w:ind w:left="1560"/>
      </w:pPr>
      <w:r>
        <w:rPr/>
        <w:t>University of Missouri Standard Details and Specification:</w:t>
      </w:r>
    </w:p>
    <w:p>
      <w:pPr>
        <w:pStyle w:val="BodyText"/>
        <w:spacing w:line="218" w:lineRule="auto" w:before="155"/>
        <w:ind w:left="480" w:right="251"/>
      </w:pPr>
      <w:r>
        <w:rPr/>
        <w:t>Manufacture, delivery, and Installation is required including coordination with owner selected contractor for utilities and/or related work associated with the wood casework. Vendor must be capable of producing shop drawings [requires field measurements and verification] and samples for review for each specific</w:t>
      </w:r>
      <w:r>
        <w:rPr>
          <w:spacing w:val="-29"/>
        </w:rPr>
        <w:t> </w:t>
      </w:r>
      <w:r>
        <w:rPr/>
        <w:t>order based upon the architect’s construction documents related to the job.</w:t>
      </w:r>
    </w:p>
    <w:p>
      <w:pPr>
        <w:pStyle w:val="BodyText"/>
      </w:pPr>
    </w:p>
    <w:p>
      <w:pPr>
        <w:pStyle w:val="BodyText"/>
        <w:spacing w:before="10"/>
        <w:rPr>
          <w:sz w:val="18"/>
        </w:rPr>
      </w:pPr>
    </w:p>
    <w:p>
      <w:pPr>
        <w:pStyle w:val="BodyText"/>
        <w:ind w:left="840"/>
      </w:pPr>
      <w:r>
        <w:rPr/>
        <w:t>See attached photographic representation of typical details.</w:t>
      </w:r>
    </w:p>
    <w:p>
      <w:pPr>
        <w:pStyle w:val="BodyText"/>
        <w:spacing w:line="218" w:lineRule="auto" w:before="157"/>
        <w:ind w:left="1560" w:right="310" w:hanging="720"/>
      </w:pPr>
      <w:r>
        <w:rPr/>
        <w:t>Wood Laboratory Casework: Solid wood and wood panel construction; each unit self-contained and not dependent on adjacent units or building structure for rigidity; in sizes necessary to avoid field cutting except for scribes and filler panels. Grade AA, plain sliced.</w:t>
      </w:r>
    </w:p>
    <w:p>
      <w:pPr>
        <w:pStyle w:val="ListParagraph"/>
        <w:numPr>
          <w:ilvl w:val="0"/>
          <w:numId w:val="8"/>
        </w:numPr>
        <w:tabs>
          <w:tab w:pos="840" w:val="left" w:leader="none"/>
          <w:tab w:pos="841" w:val="left" w:leader="none"/>
        </w:tabs>
        <w:spacing w:line="240" w:lineRule="auto" w:before="150" w:after="0"/>
        <w:ind w:left="840" w:right="0" w:hanging="360"/>
        <w:jc w:val="left"/>
        <w:rPr>
          <w:sz w:val="24"/>
        </w:rPr>
      </w:pPr>
      <w:r>
        <w:rPr>
          <w:sz w:val="24"/>
        </w:rPr>
        <w:t>Drawers and Fronts</w:t>
      </w:r>
    </w:p>
    <w:p>
      <w:pPr>
        <w:pStyle w:val="ListParagraph"/>
        <w:numPr>
          <w:ilvl w:val="1"/>
          <w:numId w:val="8"/>
        </w:numPr>
        <w:tabs>
          <w:tab w:pos="1561" w:val="left" w:leader="none"/>
        </w:tabs>
        <w:spacing w:line="240" w:lineRule="auto" w:before="124" w:after="0"/>
        <w:ind w:left="1560" w:right="0" w:hanging="360"/>
        <w:jc w:val="left"/>
        <w:rPr>
          <w:sz w:val="24"/>
        </w:rPr>
      </w:pPr>
      <w:r>
        <w:rPr>
          <w:sz w:val="24"/>
        </w:rPr>
        <w:t>Solid drawer</w:t>
      </w:r>
      <w:r>
        <w:rPr>
          <w:spacing w:val="-2"/>
          <w:sz w:val="24"/>
        </w:rPr>
        <w:t> </w:t>
      </w:r>
      <w:r>
        <w:rPr>
          <w:sz w:val="24"/>
        </w:rPr>
        <w:t>fronts</w:t>
      </w:r>
    </w:p>
    <w:p>
      <w:pPr>
        <w:pStyle w:val="ListParagraph"/>
        <w:numPr>
          <w:ilvl w:val="1"/>
          <w:numId w:val="8"/>
        </w:numPr>
        <w:tabs>
          <w:tab w:pos="1561" w:val="left" w:leader="none"/>
        </w:tabs>
        <w:spacing w:line="213" w:lineRule="auto" w:before="154" w:after="0"/>
        <w:ind w:left="1560" w:right="365" w:hanging="360"/>
        <w:jc w:val="left"/>
        <w:rPr>
          <w:sz w:val="24"/>
        </w:rPr>
      </w:pPr>
      <w:r>
        <w:rPr>
          <w:sz w:val="24"/>
        </w:rPr>
        <w:t>All joints doweled, glued and screwed, except drawers may be dovetail or lock shoulder</w:t>
      </w:r>
      <w:r>
        <w:rPr>
          <w:spacing w:val="-28"/>
          <w:sz w:val="24"/>
        </w:rPr>
        <w:t> </w:t>
      </w:r>
      <w:r>
        <w:rPr>
          <w:sz w:val="24"/>
        </w:rPr>
        <w:t>jointed; with interior of units smooth and flush;</w:t>
      </w:r>
    </w:p>
    <w:p>
      <w:pPr>
        <w:pStyle w:val="ListParagraph"/>
        <w:numPr>
          <w:ilvl w:val="1"/>
          <w:numId w:val="8"/>
        </w:numPr>
        <w:tabs>
          <w:tab w:pos="1561" w:val="left" w:leader="none"/>
        </w:tabs>
        <w:spacing w:line="240" w:lineRule="auto" w:before="139" w:after="0"/>
        <w:ind w:left="1560" w:right="0" w:hanging="360"/>
        <w:jc w:val="left"/>
        <w:rPr>
          <w:sz w:val="24"/>
        </w:rPr>
      </w:pPr>
      <w:r>
        <w:rPr>
          <w:sz w:val="24"/>
        </w:rPr>
        <w:t>100 pound capacity slides: steel, full extension arms, ball bearings, zinc</w:t>
      </w:r>
      <w:r>
        <w:rPr>
          <w:spacing w:val="-6"/>
          <w:sz w:val="24"/>
        </w:rPr>
        <w:t> </w:t>
      </w:r>
      <w:r>
        <w:rPr>
          <w:sz w:val="24"/>
        </w:rPr>
        <w:t>plated</w:t>
      </w:r>
    </w:p>
    <w:p>
      <w:pPr>
        <w:pStyle w:val="ListParagraph"/>
        <w:numPr>
          <w:ilvl w:val="1"/>
          <w:numId w:val="8"/>
        </w:numPr>
        <w:tabs>
          <w:tab w:pos="1561" w:val="left" w:leader="none"/>
        </w:tabs>
        <w:spacing w:line="240" w:lineRule="auto" w:before="121" w:after="0"/>
        <w:ind w:left="1560" w:right="0" w:hanging="360"/>
        <w:jc w:val="left"/>
        <w:rPr>
          <w:sz w:val="24"/>
        </w:rPr>
      </w:pPr>
      <w:r>
        <w:rPr>
          <w:sz w:val="24"/>
        </w:rPr>
        <w:t>4” stainless steel wire</w:t>
      </w:r>
      <w:r>
        <w:rPr>
          <w:spacing w:val="-2"/>
          <w:sz w:val="24"/>
        </w:rPr>
        <w:t> </w:t>
      </w:r>
      <w:r>
        <w:rPr>
          <w:sz w:val="24"/>
        </w:rPr>
        <w:t>pulls</w:t>
      </w:r>
    </w:p>
    <w:p>
      <w:pPr>
        <w:pStyle w:val="ListParagraph"/>
        <w:numPr>
          <w:ilvl w:val="1"/>
          <w:numId w:val="8"/>
        </w:numPr>
        <w:tabs>
          <w:tab w:pos="1561" w:val="left" w:leader="none"/>
        </w:tabs>
        <w:spacing w:line="240" w:lineRule="auto" w:before="124" w:after="0"/>
        <w:ind w:left="1560" w:right="0" w:hanging="360"/>
        <w:jc w:val="left"/>
        <w:rPr>
          <w:sz w:val="24"/>
        </w:rPr>
      </w:pPr>
      <w:r>
        <w:rPr>
          <w:sz w:val="24"/>
        </w:rPr>
        <w:t>Locking hardware may be</w:t>
      </w:r>
      <w:r>
        <w:rPr>
          <w:spacing w:val="-4"/>
          <w:sz w:val="24"/>
        </w:rPr>
        <w:t> </w:t>
      </w:r>
      <w:r>
        <w:rPr>
          <w:sz w:val="24"/>
        </w:rPr>
        <w:t>required</w:t>
      </w:r>
    </w:p>
    <w:p>
      <w:pPr>
        <w:pStyle w:val="ListParagraph"/>
        <w:numPr>
          <w:ilvl w:val="2"/>
          <w:numId w:val="8"/>
        </w:numPr>
        <w:tabs>
          <w:tab w:pos="2281" w:val="left" w:leader="none"/>
        </w:tabs>
        <w:spacing w:line="240" w:lineRule="auto" w:before="123" w:after="0"/>
        <w:ind w:left="2280" w:right="0" w:hanging="360"/>
        <w:jc w:val="left"/>
        <w:rPr>
          <w:sz w:val="24"/>
        </w:rPr>
      </w:pPr>
      <w:r>
        <w:rPr>
          <w:sz w:val="24"/>
        </w:rPr>
        <w:t>Lock with 5 pin cylinder and 2 keys per</w:t>
      </w:r>
      <w:r>
        <w:rPr>
          <w:spacing w:val="-4"/>
          <w:sz w:val="24"/>
        </w:rPr>
        <w:t> </w:t>
      </w:r>
      <w:r>
        <w:rPr>
          <w:sz w:val="24"/>
        </w:rPr>
        <w:t>lock</w:t>
      </w:r>
    </w:p>
    <w:p>
      <w:pPr>
        <w:pStyle w:val="ListParagraph"/>
        <w:numPr>
          <w:ilvl w:val="0"/>
          <w:numId w:val="8"/>
        </w:numPr>
        <w:tabs>
          <w:tab w:pos="840" w:val="left" w:leader="none"/>
          <w:tab w:pos="841" w:val="left" w:leader="none"/>
        </w:tabs>
        <w:spacing w:line="240" w:lineRule="auto" w:before="141" w:after="0"/>
        <w:ind w:left="840" w:right="0" w:hanging="360"/>
        <w:jc w:val="left"/>
        <w:rPr>
          <w:sz w:val="24"/>
        </w:rPr>
      </w:pPr>
      <w:r>
        <w:rPr>
          <w:sz w:val="24"/>
        </w:rPr>
        <w:t>Cabinet box</w:t>
      </w:r>
      <w:r>
        <w:rPr>
          <w:spacing w:val="1"/>
          <w:sz w:val="24"/>
        </w:rPr>
        <w:t> </w:t>
      </w:r>
      <w:r>
        <w:rPr>
          <w:sz w:val="24"/>
        </w:rPr>
        <w:t>construction</w:t>
      </w:r>
    </w:p>
    <w:p>
      <w:pPr>
        <w:pStyle w:val="ListParagraph"/>
        <w:numPr>
          <w:ilvl w:val="1"/>
          <w:numId w:val="8"/>
        </w:numPr>
        <w:tabs>
          <w:tab w:pos="1561" w:val="left" w:leader="none"/>
        </w:tabs>
        <w:spacing w:line="216" w:lineRule="auto" w:before="152" w:after="0"/>
        <w:ind w:left="1560" w:right="513" w:hanging="360"/>
        <w:jc w:val="left"/>
        <w:rPr>
          <w:sz w:val="24"/>
        </w:rPr>
      </w:pPr>
      <w:r>
        <w:rPr>
          <w:sz w:val="24"/>
        </w:rPr>
        <w:t>All joints doweled, glued and screwed, with interior of units smooth and flush; cabinet bottom flush with top of face</w:t>
      </w:r>
      <w:r>
        <w:rPr>
          <w:spacing w:val="-4"/>
          <w:sz w:val="24"/>
        </w:rPr>
        <w:t> </w:t>
      </w:r>
      <w:r>
        <w:rPr>
          <w:sz w:val="24"/>
        </w:rPr>
        <w:t>frame</w:t>
      </w:r>
    </w:p>
    <w:p>
      <w:pPr>
        <w:pStyle w:val="ListParagraph"/>
        <w:numPr>
          <w:ilvl w:val="1"/>
          <w:numId w:val="8"/>
        </w:numPr>
        <w:tabs>
          <w:tab w:pos="1561" w:val="left" w:leader="none"/>
        </w:tabs>
        <w:spacing w:line="240" w:lineRule="auto" w:before="134" w:after="0"/>
        <w:ind w:left="1560" w:right="0" w:hanging="360"/>
        <w:jc w:val="left"/>
        <w:rPr>
          <w:sz w:val="24"/>
        </w:rPr>
      </w:pPr>
      <w:r>
        <w:rPr>
          <w:sz w:val="24"/>
        </w:rPr>
        <w:t>Plywood end</w:t>
      </w:r>
      <w:r>
        <w:rPr>
          <w:spacing w:val="-2"/>
          <w:sz w:val="24"/>
        </w:rPr>
        <w:t> </w:t>
      </w:r>
      <w:r>
        <w:rPr>
          <w:sz w:val="24"/>
        </w:rPr>
        <w:t>panels</w:t>
      </w:r>
    </w:p>
    <w:p>
      <w:pPr>
        <w:pStyle w:val="ListParagraph"/>
        <w:numPr>
          <w:ilvl w:val="1"/>
          <w:numId w:val="8"/>
        </w:numPr>
        <w:tabs>
          <w:tab w:pos="1561" w:val="left" w:leader="none"/>
        </w:tabs>
        <w:spacing w:line="240" w:lineRule="auto" w:before="124" w:after="0"/>
        <w:ind w:left="1560" w:right="0" w:hanging="360"/>
        <w:jc w:val="left"/>
        <w:rPr>
          <w:sz w:val="24"/>
        </w:rPr>
      </w:pPr>
      <w:r>
        <w:rPr>
          <w:sz w:val="24"/>
        </w:rPr>
        <w:t>Solid face frame stile and</w:t>
      </w:r>
      <w:r>
        <w:rPr>
          <w:spacing w:val="-4"/>
          <w:sz w:val="24"/>
        </w:rPr>
        <w:t> </w:t>
      </w:r>
      <w:r>
        <w:rPr>
          <w:sz w:val="24"/>
        </w:rPr>
        <w:t>rails</w:t>
      </w:r>
    </w:p>
    <w:p>
      <w:pPr>
        <w:pStyle w:val="ListParagraph"/>
        <w:numPr>
          <w:ilvl w:val="1"/>
          <w:numId w:val="8"/>
        </w:numPr>
        <w:tabs>
          <w:tab w:pos="1561" w:val="left" w:leader="none"/>
        </w:tabs>
        <w:spacing w:line="240" w:lineRule="auto" w:before="122" w:after="0"/>
        <w:ind w:left="1560" w:right="0" w:hanging="360"/>
        <w:jc w:val="left"/>
        <w:rPr>
          <w:sz w:val="24"/>
        </w:rPr>
      </w:pPr>
      <w:r>
        <w:rPr>
          <w:sz w:val="24"/>
        </w:rPr>
        <w:t>Solid non-profiled stile and rail door frame with plywood</w:t>
      </w:r>
      <w:r>
        <w:rPr>
          <w:spacing w:val="-5"/>
          <w:sz w:val="24"/>
        </w:rPr>
        <w:t> </w:t>
      </w:r>
      <w:r>
        <w:rPr>
          <w:sz w:val="24"/>
        </w:rPr>
        <w:t>front</w:t>
      </w:r>
    </w:p>
    <w:p>
      <w:pPr>
        <w:pStyle w:val="ListParagraph"/>
        <w:numPr>
          <w:ilvl w:val="1"/>
          <w:numId w:val="8"/>
        </w:numPr>
        <w:tabs>
          <w:tab w:pos="1561" w:val="left" w:leader="none"/>
        </w:tabs>
        <w:spacing w:line="240" w:lineRule="auto" w:before="122" w:after="0"/>
        <w:ind w:left="1560" w:right="0" w:hanging="360"/>
        <w:jc w:val="left"/>
        <w:rPr>
          <w:sz w:val="24"/>
        </w:rPr>
      </w:pPr>
      <w:r>
        <w:rPr>
          <w:sz w:val="24"/>
        </w:rPr>
        <w:t>Solid Filler</w:t>
      </w:r>
      <w:r>
        <w:rPr>
          <w:spacing w:val="-2"/>
          <w:sz w:val="24"/>
        </w:rPr>
        <w:t> </w:t>
      </w:r>
      <w:r>
        <w:rPr>
          <w:sz w:val="24"/>
        </w:rPr>
        <w:t>panels</w:t>
      </w:r>
    </w:p>
    <w:p>
      <w:pPr>
        <w:pStyle w:val="ListParagraph"/>
        <w:numPr>
          <w:ilvl w:val="1"/>
          <w:numId w:val="8"/>
        </w:numPr>
        <w:tabs>
          <w:tab w:pos="1561" w:val="left" w:leader="none"/>
        </w:tabs>
        <w:spacing w:line="240" w:lineRule="auto" w:before="124" w:after="0"/>
        <w:ind w:left="1560" w:right="0" w:hanging="360"/>
        <w:jc w:val="left"/>
        <w:rPr>
          <w:sz w:val="24"/>
        </w:rPr>
      </w:pPr>
      <w:r>
        <w:rPr>
          <w:sz w:val="24"/>
        </w:rPr>
        <w:t>Surface mounted offset five knuckle</w:t>
      </w:r>
      <w:r>
        <w:rPr>
          <w:spacing w:val="-3"/>
          <w:sz w:val="24"/>
        </w:rPr>
        <w:t> </w:t>
      </w:r>
      <w:r>
        <w:rPr>
          <w:sz w:val="24"/>
        </w:rPr>
        <w:t>hinges</w:t>
      </w:r>
    </w:p>
    <w:p>
      <w:pPr>
        <w:pStyle w:val="ListParagraph"/>
        <w:numPr>
          <w:ilvl w:val="2"/>
          <w:numId w:val="8"/>
        </w:numPr>
        <w:tabs>
          <w:tab w:pos="2281" w:val="left" w:leader="none"/>
        </w:tabs>
        <w:spacing w:line="220" w:lineRule="auto" w:before="144" w:after="0"/>
        <w:ind w:left="2280" w:right="357" w:hanging="360"/>
        <w:jc w:val="left"/>
        <w:rPr>
          <w:sz w:val="24"/>
        </w:rPr>
      </w:pPr>
      <w:r>
        <w:rPr>
          <w:sz w:val="24"/>
        </w:rPr>
        <w:t>Provide 2 hinges for doors up to 48 inches tall. Provide 3 hinges for doors over 48</w:t>
      </w:r>
      <w:r>
        <w:rPr>
          <w:spacing w:val="-22"/>
          <w:sz w:val="24"/>
        </w:rPr>
        <w:t> </w:t>
      </w:r>
      <w:r>
        <w:rPr>
          <w:sz w:val="24"/>
        </w:rPr>
        <w:t>inches tall</w:t>
      </w:r>
    </w:p>
    <w:p>
      <w:pPr>
        <w:pStyle w:val="ListParagraph"/>
        <w:numPr>
          <w:ilvl w:val="1"/>
          <w:numId w:val="8"/>
        </w:numPr>
        <w:tabs>
          <w:tab w:pos="1561" w:val="left" w:leader="none"/>
        </w:tabs>
        <w:spacing w:line="240" w:lineRule="auto" w:before="133" w:after="0"/>
        <w:ind w:left="1560" w:right="0" w:hanging="360"/>
        <w:jc w:val="left"/>
        <w:rPr>
          <w:sz w:val="24"/>
        </w:rPr>
      </w:pPr>
      <w:r>
        <w:rPr>
          <w:sz w:val="24"/>
        </w:rPr>
        <w:t>Cabinet box removable rear</w:t>
      </w:r>
      <w:r>
        <w:rPr>
          <w:spacing w:val="-1"/>
          <w:sz w:val="24"/>
        </w:rPr>
        <w:t> </w:t>
      </w:r>
      <w:r>
        <w:rPr>
          <w:sz w:val="24"/>
        </w:rPr>
        <w:t>panel</w:t>
      </w:r>
    </w:p>
    <w:p>
      <w:pPr>
        <w:spacing w:after="0" w:line="240" w:lineRule="auto"/>
        <w:jc w:val="left"/>
        <w:rPr>
          <w:sz w:val="24"/>
        </w:rPr>
        <w:sectPr>
          <w:pgSz w:w="12240" w:h="15840"/>
          <w:pgMar w:header="0" w:footer="894" w:top="680" w:bottom="1120" w:left="600" w:right="500"/>
        </w:sectPr>
      </w:pPr>
    </w:p>
    <w:p>
      <w:pPr>
        <w:pStyle w:val="ListParagraph"/>
        <w:numPr>
          <w:ilvl w:val="2"/>
          <w:numId w:val="8"/>
        </w:numPr>
        <w:tabs>
          <w:tab w:pos="2281" w:val="left" w:leader="none"/>
        </w:tabs>
        <w:spacing w:line="220" w:lineRule="auto" w:before="46" w:after="0"/>
        <w:ind w:left="2280" w:right="633" w:hanging="360"/>
        <w:jc w:val="left"/>
        <w:rPr>
          <w:sz w:val="24"/>
        </w:rPr>
      </w:pPr>
      <w:r>
        <w:rPr>
          <w:sz w:val="24"/>
        </w:rPr>
        <w:t>Provide access panels for maintenance of utility service and mechanical and</w:t>
      </w:r>
      <w:r>
        <w:rPr>
          <w:spacing w:val="-28"/>
          <w:sz w:val="24"/>
        </w:rPr>
        <w:t> </w:t>
      </w:r>
      <w:r>
        <w:rPr>
          <w:sz w:val="24"/>
        </w:rPr>
        <w:t>electrical components</w:t>
      </w:r>
    </w:p>
    <w:p>
      <w:pPr>
        <w:pStyle w:val="ListParagraph"/>
        <w:numPr>
          <w:ilvl w:val="1"/>
          <w:numId w:val="8"/>
        </w:numPr>
        <w:tabs>
          <w:tab w:pos="1561" w:val="left" w:leader="none"/>
        </w:tabs>
        <w:spacing w:line="240" w:lineRule="auto" w:before="134" w:after="0"/>
        <w:ind w:left="1560" w:right="0" w:hanging="360"/>
        <w:jc w:val="left"/>
        <w:rPr>
          <w:sz w:val="24"/>
        </w:rPr>
      </w:pPr>
      <w:r>
        <w:rPr>
          <w:sz w:val="24"/>
        </w:rPr>
        <w:t>Plywood hanging rails and corner blocks are acceptable; no MDF or</w:t>
      </w:r>
      <w:r>
        <w:rPr>
          <w:spacing w:val="-6"/>
          <w:sz w:val="24"/>
        </w:rPr>
        <w:t> </w:t>
      </w:r>
      <w:r>
        <w:rPr>
          <w:sz w:val="24"/>
        </w:rPr>
        <w:t>fiberboard</w:t>
      </w:r>
    </w:p>
    <w:p>
      <w:pPr>
        <w:pStyle w:val="ListParagraph"/>
        <w:numPr>
          <w:ilvl w:val="1"/>
          <w:numId w:val="8"/>
        </w:numPr>
        <w:tabs>
          <w:tab w:pos="1561" w:val="left" w:leader="none"/>
        </w:tabs>
        <w:spacing w:line="240" w:lineRule="auto" w:before="124" w:after="0"/>
        <w:ind w:left="1560" w:right="0" w:hanging="360"/>
        <w:jc w:val="left"/>
        <w:rPr>
          <w:sz w:val="24"/>
        </w:rPr>
      </w:pPr>
      <w:r>
        <w:rPr>
          <w:sz w:val="24"/>
        </w:rPr>
        <w:t>Solid blocking beneath bottom panel of cabinet box to protect against long-term</w:t>
      </w:r>
      <w:r>
        <w:rPr>
          <w:spacing w:val="-3"/>
          <w:sz w:val="24"/>
        </w:rPr>
        <w:t> </w:t>
      </w:r>
      <w:r>
        <w:rPr>
          <w:sz w:val="24"/>
        </w:rPr>
        <w:t>sag</w:t>
      </w:r>
    </w:p>
    <w:p>
      <w:pPr>
        <w:pStyle w:val="ListParagraph"/>
        <w:numPr>
          <w:ilvl w:val="1"/>
          <w:numId w:val="8"/>
        </w:numPr>
        <w:tabs>
          <w:tab w:pos="1561" w:val="left" w:leader="none"/>
        </w:tabs>
        <w:spacing w:line="240" w:lineRule="auto" w:before="121" w:after="0"/>
        <w:ind w:left="1560" w:right="0" w:hanging="360"/>
        <w:jc w:val="left"/>
        <w:rPr>
          <w:sz w:val="24"/>
        </w:rPr>
      </w:pPr>
      <w:r>
        <w:rPr>
          <w:sz w:val="24"/>
        </w:rPr>
        <w:t>Cabinet box may be required to be extra deep for back-to-back construction for utility</w:t>
      </w:r>
      <w:r>
        <w:rPr>
          <w:spacing w:val="-13"/>
          <w:sz w:val="24"/>
        </w:rPr>
        <w:t> </w:t>
      </w:r>
      <w:r>
        <w:rPr>
          <w:sz w:val="24"/>
        </w:rPr>
        <w:t>chase</w:t>
      </w:r>
    </w:p>
    <w:p>
      <w:pPr>
        <w:pStyle w:val="ListParagraph"/>
        <w:numPr>
          <w:ilvl w:val="1"/>
          <w:numId w:val="8"/>
        </w:numPr>
        <w:tabs>
          <w:tab w:pos="1561" w:val="left" w:leader="none"/>
        </w:tabs>
        <w:spacing w:line="335" w:lineRule="exact" w:before="122" w:after="0"/>
        <w:ind w:left="1560" w:right="0" w:hanging="360"/>
        <w:jc w:val="left"/>
        <w:rPr>
          <w:sz w:val="24"/>
        </w:rPr>
      </w:pPr>
      <w:r>
        <w:rPr>
          <w:sz w:val="24"/>
        </w:rPr>
        <w:t>Adjustable interior shelving [plywood construction with solid edges] within each base</w:t>
      </w:r>
      <w:r>
        <w:rPr>
          <w:spacing w:val="-14"/>
          <w:sz w:val="24"/>
        </w:rPr>
        <w:t> </w:t>
      </w:r>
      <w:r>
        <w:rPr>
          <w:sz w:val="24"/>
        </w:rPr>
        <w:t>cabinet;</w:t>
      </w:r>
    </w:p>
    <w:p>
      <w:pPr>
        <w:pStyle w:val="BodyText"/>
        <w:spacing w:line="328" w:lineRule="exact"/>
        <w:ind w:left="1560"/>
      </w:pPr>
      <w:r>
        <w:rPr/>
        <w:t>Seismic plastic twin pin clips - 4 minimum per shelf</w:t>
      </w:r>
    </w:p>
    <w:p>
      <w:pPr>
        <w:pStyle w:val="ListParagraph"/>
        <w:numPr>
          <w:ilvl w:val="1"/>
          <w:numId w:val="8"/>
        </w:numPr>
        <w:tabs>
          <w:tab w:pos="1561" w:val="left" w:leader="none"/>
        </w:tabs>
        <w:spacing w:line="240" w:lineRule="auto" w:before="129" w:after="0"/>
        <w:ind w:left="1560" w:right="0" w:hanging="360"/>
        <w:jc w:val="left"/>
        <w:rPr>
          <w:sz w:val="24"/>
        </w:rPr>
      </w:pPr>
      <w:r>
        <w:rPr>
          <w:sz w:val="24"/>
        </w:rPr>
        <w:t>4” stainless steel wire</w:t>
      </w:r>
      <w:r>
        <w:rPr>
          <w:spacing w:val="-2"/>
          <w:sz w:val="24"/>
        </w:rPr>
        <w:t> </w:t>
      </w:r>
      <w:r>
        <w:rPr>
          <w:sz w:val="24"/>
        </w:rPr>
        <w:t>pulls</w:t>
      </w:r>
    </w:p>
    <w:p>
      <w:pPr>
        <w:pStyle w:val="ListParagraph"/>
        <w:numPr>
          <w:ilvl w:val="1"/>
          <w:numId w:val="8"/>
        </w:numPr>
        <w:tabs>
          <w:tab w:pos="1561" w:val="left" w:leader="none"/>
        </w:tabs>
        <w:spacing w:line="240" w:lineRule="auto" w:before="124" w:after="0"/>
        <w:ind w:left="1560" w:right="0" w:hanging="360"/>
        <w:jc w:val="left"/>
        <w:rPr>
          <w:sz w:val="24"/>
        </w:rPr>
      </w:pPr>
      <w:r>
        <w:rPr>
          <w:sz w:val="24"/>
        </w:rPr>
        <w:t>Mechanical catch</w:t>
      </w:r>
    </w:p>
    <w:p>
      <w:pPr>
        <w:pStyle w:val="ListParagraph"/>
        <w:numPr>
          <w:ilvl w:val="1"/>
          <w:numId w:val="8"/>
        </w:numPr>
        <w:tabs>
          <w:tab w:pos="1561" w:val="left" w:leader="none"/>
        </w:tabs>
        <w:spacing w:line="240" w:lineRule="auto" w:before="122" w:after="0"/>
        <w:ind w:left="1560" w:right="0" w:hanging="360"/>
        <w:jc w:val="left"/>
        <w:rPr>
          <w:sz w:val="24"/>
        </w:rPr>
      </w:pPr>
      <w:r>
        <w:rPr>
          <w:sz w:val="24"/>
        </w:rPr>
        <w:t>Locking hardware may be</w:t>
      </w:r>
      <w:r>
        <w:rPr>
          <w:spacing w:val="-4"/>
          <w:sz w:val="24"/>
        </w:rPr>
        <w:t> </w:t>
      </w:r>
      <w:r>
        <w:rPr>
          <w:sz w:val="24"/>
        </w:rPr>
        <w:t>required</w:t>
      </w:r>
    </w:p>
    <w:p>
      <w:pPr>
        <w:pStyle w:val="ListParagraph"/>
        <w:numPr>
          <w:ilvl w:val="2"/>
          <w:numId w:val="8"/>
        </w:numPr>
        <w:tabs>
          <w:tab w:pos="2281" w:val="left" w:leader="none"/>
        </w:tabs>
        <w:spacing w:line="240" w:lineRule="auto" w:before="125" w:after="0"/>
        <w:ind w:left="2280" w:right="0" w:hanging="360"/>
        <w:jc w:val="left"/>
        <w:rPr>
          <w:sz w:val="24"/>
        </w:rPr>
      </w:pPr>
      <w:r>
        <w:rPr>
          <w:sz w:val="24"/>
        </w:rPr>
        <w:t>Lock with 5 pin cylinder and 2 keys per</w:t>
      </w:r>
      <w:r>
        <w:rPr>
          <w:spacing w:val="-4"/>
          <w:sz w:val="24"/>
        </w:rPr>
        <w:t> </w:t>
      </w:r>
      <w:r>
        <w:rPr>
          <w:sz w:val="24"/>
        </w:rPr>
        <w:t>lock</w:t>
      </w:r>
    </w:p>
    <w:p>
      <w:pPr>
        <w:pStyle w:val="ListParagraph"/>
        <w:numPr>
          <w:ilvl w:val="0"/>
          <w:numId w:val="8"/>
        </w:numPr>
        <w:tabs>
          <w:tab w:pos="840" w:val="left" w:leader="none"/>
          <w:tab w:pos="841" w:val="left" w:leader="none"/>
        </w:tabs>
        <w:spacing w:line="240" w:lineRule="auto" w:before="141" w:after="0"/>
        <w:ind w:left="840" w:right="0" w:hanging="360"/>
        <w:jc w:val="left"/>
        <w:rPr>
          <w:sz w:val="24"/>
        </w:rPr>
      </w:pPr>
      <w:r>
        <w:rPr>
          <w:sz w:val="24"/>
        </w:rPr>
        <w:t>Finish</w:t>
      </w:r>
    </w:p>
    <w:p>
      <w:pPr>
        <w:pStyle w:val="ListParagraph"/>
        <w:numPr>
          <w:ilvl w:val="1"/>
          <w:numId w:val="8"/>
        </w:numPr>
        <w:tabs>
          <w:tab w:pos="1561" w:val="left" w:leader="none"/>
        </w:tabs>
        <w:spacing w:line="240" w:lineRule="auto" w:before="124" w:after="0"/>
        <w:ind w:left="1560" w:right="0" w:hanging="360"/>
        <w:jc w:val="left"/>
        <w:rPr>
          <w:sz w:val="24"/>
        </w:rPr>
      </w:pPr>
      <w:r>
        <w:rPr>
          <w:sz w:val="24"/>
        </w:rPr>
        <w:t>Single application of clean stain of owner selected</w:t>
      </w:r>
      <w:r>
        <w:rPr>
          <w:spacing w:val="-6"/>
          <w:sz w:val="24"/>
        </w:rPr>
        <w:t> </w:t>
      </w:r>
      <w:r>
        <w:rPr>
          <w:sz w:val="24"/>
        </w:rPr>
        <w:t>color;</w:t>
      </w:r>
    </w:p>
    <w:p>
      <w:pPr>
        <w:pStyle w:val="ListParagraph"/>
        <w:numPr>
          <w:ilvl w:val="1"/>
          <w:numId w:val="8"/>
        </w:numPr>
        <w:tabs>
          <w:tab w:pos="1561" w:val="left" w:leader="none"/>
        </w:tabs>
        <w:spacing w:line="216" w:lineRule="auto" w:before="149" w:after="0"/>
        <w:ind w:left="1560" w:right="816" w:hanging="360"/>
        <w:jc w:val="left"/>
        <w:rPr>
          <w:sz w:val="24"/>
        </w:rPr>
      </w:pPr>
      <w:r>
        <w:rPr>
          <w:sz w:val="24"/>
        </w:rPr>
        <w:t>Coating: Clear satin gloss, superior-quality, acyclic urethane number of coats as required</w:t>
      </w:r>
      <w:r>
        <w:rPr>
          <w:spacing w:val="-31"/>
          <w:sz w:val="24"/>
        </w:rPr>
        <w:t> </w:t>
      </w:r>
      <w:r>
        <w:rPr>
          <w:sz w:val="24"/>
        </w:rPr>
        <w:t>to achieve minimum 1.5 mil dry film</w:t>
      </w:r>
      <w:r>
        <w:rPr>
          <w:spacing w:val="-2"/>
          <w:sz w:val="24"/>
        </w:rPr>
        <w:t> </w:t>
      </w:r>
      <w:r>
        <w:rPr>
          <w:sz w:val="24"/>
        </w:rPr>
        <w:t>thickness</w:t>
      </w:r>
    </w:p>
    <w:p>
      <w:pPr>
        <w:pStyle w:val="ListParagraph"/>
        <w:numPr>
          <w:ilvl w:val="0"/>
          <w:numId w:val="8"/>
        </w:numPr>
        <w:tabs>
          <w:tab w:pos="840" w:val="left" w:leader="none"/>
          <w:tab w:pos="841" w:val="left" w:leader="none"/>
        </w:tabs>
        <w:spacing w:line="240" w:lineRule="auto" w:before="147" w:after="0"/>
        <w:ind w:left="840" w:right="0" w:hanging="360"/>
        <w:jc w:val="left"/>
        <w:rPr>
          <w:sz w:val="24"/>
        </w:rPr>
      </w:pPr>
      <w:r>
        <w:rPr>
          <w:sz w:val="24"/>
        </w:rPr>
        <w:t>Countertops and Utility</w:t>
      </w:r>
      <w:r>
        <w:rPr>
          <w:spacing w:val="-3"/>
          <w:sz w:val="24"/>
        </w:rPr>
        <w:t> </w:t>
      </w:r>
      <w:r>
        <w:rPr>
          <w:sz w:val="24"/>
        </w:rPr>
        <w:t>Chases</w:t>
      </w:r>
    </w:p>
    <w:p>
      <w:pPr>
        <w:pStyle w:val="ListParagraph"/>
        <w:numPr>
          <w:ilvl w:val="1"/>
          <w:numId w:val="8"/>
        </w:numPr>
        <w:tabs>
          <w:tab w:pos="1561" w:val="left" w:leader="none"/>
        </w:tabs>
        <w:spacing w:line="218" w:lineRule="auto" w:before="149" w:after="0"/>
        <w:ind w:left="1560" w:right="502" w:hanging="360"/>
        <w:jc w:val="left"/>
        <w:rPr>
          <w:sz w:val="24"/>
        </w:rPr>
      </w:pPr>
      <w:r>
        <w:rPr>
          <w:sz w:val="24"/>
        </w:rPr>
        <w:t>Filled epoxy resin molded into homogenous, non-porous sheets; no surface coating and color and pattern consistent throughout thickness; with integral or adhesively seamed</w:t>
      </w:r>
      <w:r>
        <w:rPr>
          <w:spacing w:val="-32"/>
          <w:sz w:val="24"/>
        </w:rPr>
        <w:t> </w:t>
      </w:r>
      <w:r>
        <w:rPr>
          <w:sz w:val="24"/>
        </w:rPr>
        <w:t>components. Durcon Chemical Resistant SPC or Equal</w:t>
      </w:r>
    </w:p>
    <w:p>
      <w:pPr>
        <w:pStyle w:val="ListParagraph"/>
        <w:numPr>
          <w:ilvl w:val="2"/>
          <w:numId w:val="8"/>
        </w:numPr>
        <w:tabs>
          <w:tab w:pos="2281" w:val="left" w:leader="none"/>
        </w:tabs>
        <w:spacing w:line="240" w:lineRule="auto" w:before="132" w:after="0"/>
        <w:ind w:left="2280" w:right="0" w:hanging="360"/>
        <w:jc w:val="left"/>
        <w:rPr>
          <w:sz w:val="24"/>
        </w:rPr>
      </w:pPr>
      <w:r>
        <w:rPr>
          <w:sz w:val="24"/>
        </w:rPr>
        <w:t>Thickness: 1 inch,</w:t>
      </w:r>
      <w:r>
        <w:rPr>
          <w:spacing w:val="-1"/>
          <w:sz w:val="24"/>
        </w:rPr>
        <w:t> </w:t>
      </w:r>
      <w:r>
        <w:rPr>
          <w:sz w:val="24"/>
        </w:rPr>
        <w:t>nominal</w:t>
      </w:r>
    </w:p>
    <w:p>
      <w:pPr>
        <w:pStyle w:val="ListParagraph"/>
        <w:numPr>
          <w:ilvl w:val="2"/>
          <w:numId w:val="8"/>
        </w:numPr>
        <w:tabs>
          <w:tab w:pos="2281" w:val="left" w:leader="none"/>
        </w:tabs>
        <w:spacing w:line="240" w:lineRule="auto" w:before="129" w:after="0"/>
        <w:ind w:left="2280" w:right="0" w:hanging="360"/>
        <w:jc w:val="left"/>
        <w:rPr>
          <w:sz w:val="24"/>
        </w:rPr>
      </w:pPr>
      <w:r>
        <w:rPr>
          <w:sz w:val="24"/>
        </w:rPr>
        <w:t>Surface Finish: Smooth,</w:t>
      </w:r>
      <w:r>
        <w:rPr>
          <w:spacing w:val="-3"/>
          <w:sz w:val="24"/>
        </w:rPr>
        <w:t> </w:t>
      </w:r>
      <w:r>
        <w:rPr>
          <w:sz w:val="24"/>
        </w:rPr>
        <w:t>non-glare.</w:t>
      </w:r>
    </w:p>
    <w:p>
      <w:pPr>
        <w:pStyle w:val="ListParagraph"/>
        <w:numPr>
          <w:ilvl w:val="2"/>
          <w:numId w:val="8"/>
        </w:numPr>
        <w:tabs>
          <w:tab w:pos="2281" w:val="left" w:leader="none"/>
        </w:tabs>
        <w:spacing w:line="240" w:lineRule="auto" w:before="132" w:after="0"/>
        <w:ind w:left="2280" w:right="0" w:hanging="360"/>
        <w:jc w:val="left"/>
        <w:rPr>
          <w:sz w:val="24"/>
        </w:rPr>
      </w:pPr>
      <w:r>
        <w:rPr>
          <w:sz w:val="24"/>
        </w:rPr>
        <w:t>Color:</w:t>
      </w:r>
      <w:r>
        <w:rPr>
          <w:spacing w:val="-1"/>
          <w:sz w:val="24"/>
        </w:rPr>
        <w:t> </w:t>
      </w:r>
      <w:r>
        <w:rPr>
          <w:sz w:val="24"/>
        </w:rPr>
        <w:t>Black</w:t>
      </w:r>
    </w:p>
    <w:p>
      <w:pPr>
        <w:pStyle w:val="ListParagraph"/>
        <w:numPr>
          <w:ilvl w:val="2"/>
          <w:numId w:val="8"/>
        </w:numPr>
        <w:tabs>
          <w:tab w:pos="2281" w:val="left" w:leader="none"/>
        </w:tabs>
        <w:spacing w:line="240" w:lineRule="auto" w:before="129" w:after="0"/>
        <w:ind w:left="2280" w:right="0" w:hanging="360"/>
        <w:jc w:val="left"/>
        <w:rPr>
          <w:sz w:val="24"/>
        </w:rPr>
      </w:pPr>
      <w:r>
        <w:rPr>
          <w:sz w:val="24"/>
        </w:rPr>
        <w:t>Molded one piece sink basins; solid integral color to match countertops; min ½”</w:t>
      </w:r>
      <w:r>
        <w:rPr>
          <w:spacing w:val="-24"/>
          <w:sz w:val="24"/>
        </w:rPr>
        <w:t> </w:t>
      </w:r>
      <w:r>
        <w:rPr>
          <w:sz w:val="24"/>
        </w:rPr>
        <w:t>material</w:t>
      </w:r>
    </w:p>
    <w:p>
      <w:pPr>
        <w:pStyle w:val="ListParagraph"/>
        <w:numPr>
          <w:ilvl w:val="1"/>
          <w:numId w:val="8"/>
        </w:numPr>
        <w:tabs>
          <w:tab w:pos="1561" w:val="left" w:leader="none"/>
        </w:tabs>
        <w:spacing w:line="218" w:lineRule="auto" w:before="157" w:after="0"/>
        <w:ind w:left="1560" w:right="405" w:hanging="360"/>
        <w:jc w:val="left"/>
        <w:rPr>
          <w:sz w:val="24"/>
        </w:rPr>
      </w:pPr>
      <w:r>
        <w:rPr>
          <w:sz w:val="24"/>
        </w:rPr>
        <w:t>AND/OR [depending on the specific job needs] Decorative high-pressure compact laminates [HPL] of thicknesses of 1/2 in or greater for indoor scientific furniture applications. Sheets consisting of layers of wood-based fibers (paper and or wood) impregnated with thermosetting resins and surface layer(s) on one or both sides, having decorative colors or designs. Trespa Toplab Plus or</w:t>
      </w:r>
      <w:r>
        <w:rPr>
          <w:spacing w:val="-2"/>
          <w:sz w:val="24"/>
        </w:rPr>
        <w:t> </w:t>
      </w:r>
      <w:r>
        <w:rPr>
          <w:sz w:val="24"/>
        </w:rPr>
        <w:t>equal</w:t>
      </w:r>
    </w:p>
    <w:p>
      <w:pPr>
        <w:pStyle w:val="ListParagraph"/>
        <w:numPr>
          <w:ilvl w:val="2"/>
          <w:numId w:val="8"/>
        </w:numPr>
        <w:tabs>
          <w:tab w:pos="2281" w:val="left" w:leader="none"/>
        </w:tabs>
        <w:spacing w:line="240" w:lineRule="auto" w:before="134" w:after="0"/>
        <w:ind w:left="2280" w:right="0" w:hanging="360"/>
        <w:jc w:val="left"/>
        <w:rPr>
          <w:sz w:val="24"/>
        </w:rPr>
      </w:pPr>
      <w:r>
        <w:rPr>
          <w:sz w:val="24"/>
        </w:rPr>
        <w:t>Thickness: 1/2 inch,</w:t>
      </w:r>
      <w:r>
        <w:rPr>
          <w:spacing w:val="-1"/>
          <w:sz w:val="24"/>
        </w:rPr>
        <w:t> </w:t>
      </w:r>
      <w:r>
        <w:rPr>
          <w:sz w:val="24"/>
        </w:rPr>
        <w:t>nominal</w:t>
      </w:r>
    </w:p>
    <w:p>
      <w:pPr>
        <w:pStyle w:val="ListParagraph"/>
        <w:numPr>
          <w:ilvl w:val="2"/>
          <w:numId w:val="8"/>
        </w:numPr>
        <w:tabs>
          <w:tab w:pos="2281" w:val="left" w:leader="none"/>
        </w:tabs>
        <w:spacing w:line="240" w:lineRule="auto" w:before="129" w:after="0"/>
        <w:ind w:left="2280" w:right="0" w:hanging="360"/>
        <w:jc w:val="left"/>
        <w:rPr>
          <w:sz w:val="24"/>
        </w:rPr>
      </w:pPr>
      <w:r>
        <w:rPr>
          <w:sz w:val="24"/>
        </w:rPr>
        <w:t>Surface Finish: Smooth,</w:t>
      </w:r>
      <w:r>
        <w:rPr>
          <w:spacing w:val="-3"/>
          <w:sz w:val="24"/>
        </w:rPr>
        <w:t> </w:t>
      </w:r>
      <w:r>
        <w:rPr>
          <w:sz w:val="24"/>
        </w:rPr>
        <w:t>non-glare.</w:t>
      </w:r>
    </w:p>
    <w:p>
      <w:pPr>
        <w:pStyle w:val="ListParagraph"/>
        <w:numPr>
          <w:ilvl w:val="2"/>
          <w:numId w:val="8"/>
        </w:numPr>
        <w:tabs>
          <w:tab w:pos="2281" w:val="left" w:leader="none"/>
        </w:tabs>
        <w:spacing w:line="240" w:lineRule="auto" w:before="132" w:after="0"/>
        <w:ind w:left="2280" w:right="0" w:hanging="360"/>
        <w:jc w:val="left"/>
        <w:rPr>
          <w:sz w:val="24"/>
        </w:rPr>
      </w:pPr>
      <w:r>
        <w:rPr>
          <w:sz w:val="24"/>
        </w:rPr>
        <w:t>Color:</w:t>
      </w:r>
      <w:r>
        <w:rPr>
          <w:spacing w:val="-1"/>
          <w:sz w:val="24"/>
        </w:rPr>
        <w:t> </w:t>
      </w:r>
      <w:r>
        <w:rPr>
          <w:sz w:val="24"/>
        </w:rPr>
        <w:t>Black</w:t>
      </w:r>
    </w:p>
    <w:p>
      <w:pPr>
        <w:pStyle w:val="ListParagraph"/>
        <w:numPr>
          <w:ilvl w:val="2"/>
          <w:numId w:val="8"/>
        </w:numPr>
        <w:tabs>
          <w:tab w:pos="2281" w:val="left" w:leader="none"/>
        </w:tabs>
        <w:spacing w:line="240" w:lineRule="auto" w:before="129" w:after="0"/>
        <w:ind w:left="2280" w:right="0" w:hanging="360"/>
        <w:jc w:val="left"/>
        <w:rPr>
          <w:sz w:val="24"/>
        </w:rPr>
      </w:pPr>
      <w:r>
        <w:rPr>
          <w:sz w:val="24"/>
        </w:rPr>
        <w:t>Molded one piece sink basins; solid integral color to match countertops; min ½”</w:t>
      </w:r>
      <w:r>
        <w:rPr>
          <w:spacing w:val="-21"/>
          <w:sz w:val="24"/>
        </w:rPr>
        <w:t> </w:t>
      </w:r>
      <w:r>
        <w:rPr>
          <w:sz w:val="24"/>
        </w:rPr>
        <w:t>material</w:t>
      </w:r>
    </w:p>
    <w:p>
      <w:pPr>
        <w:spacing w:after="0" w:line="240" w:lineRule="auto"/>
        <w:jc w:val="left"/>
        <w:rPr>
          <w:sz w:val="24"/>
        </w:rPr>
        <w:sectPr>
          <w:pgSz w:w="12240" w:h="15840"/>
          <w:pgMar w:header="0" w:footer="894" w:top="640" w:bottom="1120" w:left="600" w:right="500"/>
        </w:sectPr>
      </w:pPr>
    </w:p>
    <w:p>
      <w:pPr>
        <w:pStyle w:val="BodyText"/>
        <w:spacing w:line="330" w:lineRule="exact"/>
        <w:ind w:left="840"/>
      </w:pPr>
      <w:r>
        <w:rPr/>
        <w:t>Installation</w:t>
      </w:r>
    </w:p>
    <w:p>
      <w:pPr>
        <w:pStyle w:val="ListParagraph"/>
        <w:numPr>
          <w:ilvl w:val="0"/>
          <w:numId w:val="8"/>
        </w:numPr>
        <w:tabs>
          <w:tab w:pos="840" w:val="left" w:leader="none"/>
          <w:tab w:pos="841" w:val="left" w:leader="none"/>
        </w:tabs>
        <w:spacing w:line="240" w:lineRule="auto" w:before="141" w:after="0"/>
        <w:ind w:left="840" w:right="0" w:hanging="360"/>
        <w:jc w:val="left"/>
        <w:rPr>
          <w:sz w:val="24"/>
        </w:rPr>
      </w:pPr>
      <w:r>
        <w:rPr>
          <w:sz w:val="24"/>
        </w:rPr>
        <w:t>Use anchoring devices to suit conditions and substrate materials</w:t>
      </w:r>
      <w:r>
        <w:rPr>
          <w:spacing w:val="-8"/>
          <w:sz w:val="24"/>
        </w:rPr>
        <w:t> </w:t>
      </w:r>
      <w:r>
        <w:rPr>
          <w:sz w:val="24"/>
        </w:rPr>
        <w:t>encountered.</w:t>
      </w:r>
    </w:p>
    <w:p>
      <w:pPr>
        <w:pStyle w:val="ListParagraph"/>
        <w:numPr>
          <w:ilvl w:val="0"/>
          <w:numId w:val="8"/>
        </w:numPr>
        <w:tabs>
          <w:tab w:pos="840" w:val="left" w:leader="none"/>
          <w:tab w:pos="841" w:val="left" w:leader="none"/>
        </w:tabs>
        <w:spacing w:line="240" w:lineRule="auto" w:before="137" w:after="0"/>
        <w:ind w:left="840" w:right="0" w:hanging="360"/>
        <w:jc w:val="left"/>
        <w:rPr>
          <w:sz w:val="24"/>
        </w:rPr>
      </w:pPr>
      <w:r>
        <w:rPr>
          <w:sz w:val="24"/>
        </w:rPr>
        <w:t>Set casework items plumb and square, securely anchored to building</w:t>
      </w:r>
      <w:r>
        <w:rPr>
          <w:spacing w:val="-1"/>
          <w:sz w:val="24"/>
        </w:rPr>
        <w:t> </w:t>
      </w:r>
      <w:r>
        <w:rPr>
          <w:sz w:val="24"/>
        </w:rPr>
        <w:t>structure.</w:t>
      </w:r>
    </w:p>
    <w:p>
      <w:pPr>
        <w:pStyle w:val="ListParagraph"/>
        <w:numPr>
          <w:ilvl w:val="0"/>
          <w:numId w:val="8"/>
        </w:numPr>
        <w:tabs>
          <w:tab w:pos="840" w:val="left" w:leader="none"/>
          <w:tab w:pos="841" w:val="left" w:leader="none"/>
        </w:tabs>
        <w:spacing w:line="213" w:lineRule="auto" w:before="169" w:after="0"/>
        <w:ind w:left="840" w:right="597" w:hanging="360"/>
        <w:jc w:val="left"/>
        <w:rPr>
          <w:sz w:val="24"/>
        </w:rPr>
      </w:pPr>
      <w:r>
        <w:rPr>
          <w:sz w:val="24"/>
        </w:rPr>
        <w:t>Align cabinets to adjoining components, install filler panels where necessary to close gaps; seal joints between cabinets and countertops and adjacent</w:t>
      </w:r>
      <w:r>
        <w:rPr>
          <w:spacing w:val="1"/>
          <w:sz w:val="24"/>
        </w:rPr>
        <w:t> </w:t>
      </w:r>
      <w:r>
        <w:rPr>
          <w:sz w:val="24"/>
        </w:rPr>
        <w:t>construction</w:t>
      </w:r>
    </w:p>
    <w:p>
      <w:pPr>
        <w:pStyle w:val="BodyText"/>
        <w:spacing w:before="136"/>
        <w:ind w:left="840"/>
      </w:pPr>
      <w:r>
        <w:rPr/>
        <w:t>Adjusting</w:t>
      </w:r>
    </w:p>
    <w:p>
      <w:pPr>
        <w:pStyle w:val="ListParagraph"/>
        <w:numPr>
          <w:ilvl w:val="0"/>
          <w:numId w:val="8"/>
        </w:numPr>
        <w:tabs>
          <w:tab w:pos="840" w:val="left" w:leader="none"/>
          <w:tab w:pos="841" w:val="left" w:leader="none"/>
        </w:tabs>
        <w:spacing w:line="324" w:lineRule="auto" w:before="144" w:after="0"/>
        <w:ind w:left="840" w:right="1245" w:hanging="360"/>
        <w:jc w:val="left"/>
        <w:rPr>
          <w:sz w:val="24"/>
        </w:rPr>
      </w:pPr>
      <w:r>
        <w:rPr>
          <w:sz w:val="24"/>
        </w:rPr>
        <w:t>Adjust operating parts, including doors, drawers, hardware, and fixtures, to function smoothly Cleaning</w:t>
      </w:r>
    </w:p>
    <w:p>
      <w:pPr>
        <w:pStyle w:val="ListParagraph"/>
        <w:numPr>
          <w:ilvl w:val="0"/>
          <w:numId w:val="8"/>
        </w:numPr>
        <w:tabs>
          <w:tab w:pos="840" w:val="left" w:leader="none"/>
          <w:tab w:pos="841" w:val="left" w:leader="none"/>
        </w:tabs>
        <w:spacing w:line="324" w:lineRule="auto" w:before="23" w:after="0"/>
        <w:ind w:left="840" w:right="8166" w:hanging="360"/>
        <w:jc w:val="left"/>
        <w:rPr>
          <w:sz w:val="24"/>
        </w:rPr>
      </w:pPr>
      <w:r>
        <w:rPr>
          <w:sz w:val="24"/>
        </w:rPr>
        <w:t>Clean all components. Protection</w:t>
      </w:r>
    </w:p>
    <w:p>
      <w:pPr>
        <w:pStyle w:val="ListParagraph"/>
        <w:numPr>
          <w:ilvl w:val="0"/>
          <w:numId w:val="8"/>
        </w:numPr>
        <w:tabs>
          <w:tab w:pos="840" w:val="left" w:leader="none"/>
          <w:tab w:pos="841" w:val="left" w:leader="none"/>
        </w:tabs>
        <w:spacing w:line="240" w:lineRule="auto" w:before="24" w:after="0"/>
        <w:ind w:left="840" w:right="0" w:hanging="360"/>
        <w:jc w:val="left"/>
        <w:rPr>
          <w:sz w:val="24"/>
        </w:rPr>
      </w:pPr>
      <w:r>
        <w:rPr>
          <w:sz w:val="24"/>
        </w:rPr>
        <w:t>Do not permit finished casework to be exposed to continued construction</w:t>
      </w:r>
      <w:r>
        <w:rPr>
          <w:spacing w:val="-9"/>
          <w:sz w:val="24"/>
        </w:rPr>
        <w:t> </w:t>
      </w:r>
      <w:r>
        <w:rPr>
          <w:sz w:val="24"/>
        </w:rPr>
        <w:t>activity.</w:t>
      </w:r>
    </w:p>
    <w:p>
      <w:pPr>
        <w:pStyle w:val="ListParagraph"/>
        <w:numPr>
          <w:ilvl w:val="0"/>
          <w:numId w:val="8"/>
        </w:numPr>
        <w:tabs>
          <w:tab w:pos="840" w:val="left" w:leader="none"/>
          <w:tab w:pos="841" w:val="left" w:leader="none"/>
        </w:tabs>
        <w:spacing w:line="213" w:lineRule="auto" w:before="169" w:after="0"/>
        <w:ind w:left="840" w:right="301" w:hanging="360"/>
        <w:jc w:val="left"/>
        <w:rPr>
          <w:sz w:val="24"/>
        </w:rPr>
      </w:pPr>
      <w:r>
        <w:rPr>
          <w:sz w:val="24"/>
        </w:rPr>
        <w:t>Repair damage that occurs prior to Substantial Completion, including finishes. Replace units that cannot be repaired to like-new</w:t>
      </w:r>
      <w:r>
        <w:rPr>
          <w:spacing w:val="-1"/>
          <w:sz w:val="24"/>
        </w:rPr>
        <w:t> </w:t>
      </w:r>
      <w:r>
        <w:rPr>
          <w:sz w:val="24"/>
        </w:rPr>
        <w:t>condition.</w:t>
      </w:r>
    </w:p>
    <w:p>
      <w:pPr>
        <w:pStyle w:val="BodyText"/>
        <w:spacing w:line="220" w:lineRule="auto" w:before="159"/>
        <w:ind w:left="1560" w:hanging="720"/>
      </w:pPr>
      <w:r>
        <w:rPr/>
        <w:t>Service fittings and outlets will be owner provided and installed; vendor must coordinate with owner/architect for cutting and drilling of counter tops, backs, and other components for service outlets and fixtures specific to each job.</w:t>
      </w:r>
    </w:p>
    <w:p>
      <w:pPr>
        <w:spacing w:after="0" w:line="220" w:lineRule="auto"/>
        <w:sectPr>
          <w:pgSz w:w="12240" w:h="15840"/>
          <w:pgMar w:header="0" w:footer="894" w:top="680" w:bottom="1120" w:left="600" w:right="500"/>
        </w:sectPr>
      </w:pPr>
    </w:p>
    <w:p>
      <w:pPr>
        <w:pStyle w:val="BodyText"/>
        <w:ind w:left="1160"/>
        <w:rPr>
          <w:sz w:val="20"/>
        </w:rPr>
      </w:pPr>
      <w:r>
        <w:rPr>
          <w:sz w:val="20"/>
        </w:rPr>
        <w:drawing>
          <wp:inline distT="0" distB="0" distL="0" distR="0">
            <wp:extent cx="5802655" cy="5964745"/>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8" cstate="print"/>
                    <a:stretch>
                      <a:fillRect/>
                    </a:stretch>
                  </pic:blipFill>
                  <pic:spPr>
                    <a:xfrm>
                      <a:off x="0" y="0"/>
                      <a:ext cx="5802655" cy="5964745"/>
                    </a:xfrm>
                    <a:prstGeom prst="rect">
                      <a:avLst/>
                    </a:prstGeom>
                  </pic:spPr>
                </pic:pic>
              </a:graphicData>
            </a:graphic>
          </wp:inline>
        </w:drawing>
      </w:r>
      <w:r>
        <w:rPr>
          <w:sz w:val="20"/>
        </w:rPr>
      </w:r>
    </w:p>
    <w:p>
      <w:pPr>
        <w:spacing w:after="0"/>
        <w:rPr>
          <w:sz w:val="20"/>
        </w:rPr>
        <w:sectPr>
          <w:pgSz w:w="12240" w:h="15840"/>
          <w:pgMar w:header="0" w:footer="894" w:top="960" w:bottom="1080" w:left="600" w:right="500"/>
        </w:sectPr>
      </w:pPr>
    </w:p>
    <w:p>
      <w:pPr>
        <w:pStyle w:val="BodyText"/>
        <w:ind w:left="984"/>
        <w:rPr>
          <w:sz w:val="20"/>
        </w:rPr>
      </w:pPr>
      <w:r>
        <w:rPr>
          <w:sz w:val="20"/>
        </w:rPr>
        <w:drawing>
          <wp:inline distT="0" distB="0" distL="0" distR="0">
            <wp:extent cx="6143409" cy="6807231"/>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6143409" cy="6807231"/>
                    </a:xfrm>
                    <a:prstGeom prst="rect">
                      <a:avLst/>
                    </a:prstGeom>
                  </pic:spPr>
                </pic:pic>
              </a:graphicData>
            </a:graphic>
          </wp:inline>
        </w:drawing>
      </w:r>
      <w:r>
        <w:rPr>
          <w:sz w:val="20"/>
        </w:rPr>
      </w:r>
    </w:p>
    <w:p>
      <w:pPr>
        <w:spacing w:after="0"/>
        <w:rPr>
          <w:sz w:val="20"/>
        </w:rPr>
        <w:sectPr>
          <w:pgSz w:w="12240" w:h="15840"/>
          <w:pgMar w:header="0" w:footer="894" w:top="900" w:bottom="1080" w:left="600" w:right="500"/>
        </w:sectPr>
      </w:pPr>
    </w:p>
    <w:p>
      <w:pPr>
        <w:pStyle w:val="BodyText"/>
        <w:spacing w:line="332" w:lineRule="exact"/>
        <w:ind w:left="3567" w:right="4141"/>
        <w:jc w:val="center"/>
      </w:pPr>
      <w:r>
        <w:rPr/>
        <w:t>PROPOSAL FORM</w:t>
      </w:r>
    </w:p>
    <w:p>
      <w:pPr>
        <w:pStyle w:val="BodyText"/>
        <w:rPr>
          <w:sz w:val="20"/>
        </w:rPr>
      </w:pPr>
    </w:p>
    <w:p>
      <w:pPr>
        <w:pStyle w:val="BodyText"/>
        <w:rPr>
          <w:sz w:val="20"/>
        </w:rPr>
      </w:pPr>
    </w:p>
    <w:p>
      <w:pPr>
        <w:pStyle w:val="BodyText"/>
        <w:rPr>
          <w:sz w:val="20"/>
        </w:rPr>
      </w:pPr>
    </w:p>
    <w:p>
      <w:pPr>
        <w:pStyle w:val="BodyText"/>
        <w:spacing w:before="2"/>
        <w:rPr>
          <w:sz w:val="16"/>
        </w:rPr>
      </w:pPr>
      <w:r>
        <w:rPr/>
        <w:pict>
          <v:line style="position:absolute;mso-position-horizontal-relative:page;mso-position-vertical-relative:paragraph;z-index:-952;mso-wrap-distance-left:0;mso-wrap-distance-right:0" from="96.863998pt,13.94905pt" to="514.980581pt,13.94905pt" stroked="true" strokeweight=".609375pt" strokecolor="#000000">
            <v:stroke dashstyle="solid"/>
            <w10:wrap type="topAndBottom"/>
          </v:line>
        </w:pict>
      </w:r>
    </w:p>
    <w:p>
      <w:pPr>
        <w:pStyle w:val="BodyText"/>
        <w:spacing w:line="285" w:lineRule="exact"/>
        <w:ind w:left="3617"/>
      </w:pPr>
      <w:r>
        <w:rPr/>
        <w:t>(Name of firm or individual responding)</w:t>
      </w:r>
    </w:p>
    <w:p>
      <w:pPr>
        <w:pStyle w:val="BodyText"/>
        <w:spacing w:before="8"/>
        <w:rPr>
          <w:sz w:val="19"/>
        </w:rPr>
      </w:pPr>
    </w:p>
    <w:p>
      <w:pPr>
        <w:pStyle w:val="BodyText"/>
        <w:spacing w:line="204" w:lineRule="auto"/>
        <w:ind w:left="4249" w:right="4347"/>
        <w:jc w:val="center"/>
      </w:pPr>
      <w:r>
        <w:rPr/>
        <w:t>REQUEST FOR PROPOSALS FOR</w:t>
      </w:r>
    </w:p>
    <w:p>
      <w:pPr>
        <w:pStyle w:val="BodyText"/>
        <w:spacing w:line="277" w:lineRule="exact"/>
        <w:ind w:left="4688"/>
      </w:pPr>
      <w:r>
        <w:rPr/>
        <w:t>CUSTOM CASEWORK</w:t>
      </w:r>
    </w:p>
    <w:p>
      <w:pPr>
        <w:pStyle w:val="BodyText"/>
        <w:spacing w:line="293" w:lineRule="exact"/>
        <w:ind w:left="4041" w:right="4141"/>
        <w:jc w:val="center"/>
      </w:pPr>
      <w:r>
        <w:rPr/>
        <w:t>FOR</w:t>
      </w:r>
    </w:p>
    <w:p>
      <w:pPr>
        <w:pStyle w:val="BodyText"/>
        <w:spacing w:line="204" w:lineRule="auto" w:before="15"/>
        <w:ind w:left="3125" w:right="3226"/>
        <w:jc w:val="center"/>
      </w:pPr>
      <w:r>
        <w:rPr/>
        <w:t>THE CURATORS OF THE UNIVERSITY OF</w:t>
      </w:r>
      <w:r>
        <w:rPr>
          <w:spacing w:val="-26"/>
        </w:rPr>
        <w:t> </w:t>
      </w:r>
      <w:r>
        <w:rPr/>
        <w:t>MISSOURI FOR</w:t>
      </w:r>
    </w:p>
    <w:p>
      <w:pPr>
        <w:pStyle w:val="BodyText"/>
        <w:spacing w:line="204" w:lineRule="auto"/>
        <w:ind w:left="3305" w:right="3401"/>
        <w:jc w:val="center"/>
      </w:pPr>
      <w:r>
        <w:rPr/>
        <w:t>THE UNIVERSITY OF MISSOURI</w:t>
      </w:r>
      <w:r>
        <w:rPr>
          <w:spacing w:val="-16"/>
        </w:rPr>
        <w:t> </w:t>
      </w:r>
      <w:r>
        <w:rPr/>
        <w:t>–COLUMBIA RFP #16-9007 DH</w:t>
      </w:r>
      <w:r>
        <w:rPr>
          <w:spacing w:val="-1"/>
        </w:rPr>
        <w:t> </w:t>
      </w:r>
      <w:r>
        <w:rPr/>
        <w:t>C</w:t>
      </w:r>
    </w:p>
    <w:p>
      <w:pPr>
        <w:pStyle w:val="BodyText"/>
        <w:spacing w:line="204" w:lineRule="auto"/>
        <w:ind w:left="4047" w:right="4141"/>
        <w:jc w:val="center"/>
      </w:pPr>
      <w:r>
        <w:rPr/>
        <w:t>OPENING DATE: APRIL 1,</w:t>
      </w:r>
      <w:r>
        <w:rPr>
          <w:spacing w:val="-6"/>
        </w:rPr>
        <w:t> </w:t>
      </w:r>
      <w:r>
        <w:rPr/>
        <w:t>2016 TIME: 2:00 PM,</w:t>
      </w:r>
      <w:r>
        <w:rPr>
          <w:spacing w:val="-2"/>
        </w:rPr>
        <w:t> </w:t>
      </w:r>
      <w:r>
        <w:rPr/>
        <w:t>CST</w:t>
      </w:r>
    </w:p>
    <w:p>
      <w:pPr>
        <w:pStyle w:val="BodyText"/>
        <w:spacing w:before="12"/>
        <w:rPr>
          <w:sz w:val="19"/>
        </w:rPr>
      </w:pPr>
    </w:p>
    <w:p>
      <w:pPr>
        <w:pStyle w:val="BodyText"/>
        <w:spacing w:line="204" w:lineRule="auto"/>
        <w:ind w:left="119" w:right="653"/>
      </w:pPr>
      <w:r>
        <w:rPr/>
        <w:t>The undersigned proposes to furnish the following items and/or services at the prices quoted and agrees to perform in accordance with all requirements and specifications contained within this Request for Proposal issued by the University of Missouri.</w:t>
      </w:r>
    </w:p>
    <w:p>
      <w:pPr>
        <w:pStyle w:val="BodyText"/>
        <w:spacing w:before="4"/>
        <w:rPr>
          <w:sz w:val="17"/>
        </w:rPr>
      </w:pPr>
    </w:p>
    <w:p>
      <w:pPr>
        <w:pStyle w:val="BodyText"/>
        <w:spacing w:before="1"/>
        <w:ind w:left="2239"/>
      </w:pPr>
      <w:r>
        <w:rPr/>
        <w:t>AUTHORIZED RESPONDENT REPRESENTATION FORM</w:t>
      </w:r>
    </w:p>
    <w:p>
      <w:pPr>
        <w:pStyle w:val="BodyText"/>
        <w:spacing w:before="4"/>
        <w:rPr>
          <w:sz w:val="20"/>
        </w:rPr>
      </w:pPr>
    </w:p>
    <w:tbl>
      <w:tblPr>
        <w:tblW w:w="0" w:type="auto"/>
        <w:jc w:val="left"/>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9"/>
        <w:gridCol w:w="811"/>
        <w:gridCol w:w="3618"/>
      </w:tblGrid>
      <w:tr>
        <w:trPr>
          <w:trHeight w:val="877" w:hRule="atLeast"/>
        </w:trPr>
        <w:tc>
          <w:tcPr>
            <w:tcW w:w="5040" w:type="dxa"/>
            <w:gridSpan w:val="2"/>
          </w:tcPr>
          <w:p>
            <w:pPr>
              <w:pStyle w:val="TableParagraph"/>
              <w:spacing w:line="204" w:lineRule="auto"/>
              <w:ind w:right="788"/>
              <w:rPr>
                <w:rFonts w:ascii="Calibri-Light"/>
                <w:sz w:val="24"/>
              </w:rPr>
            </w:pPr>
            <w:r>
              <w:rPr>
                <w:rFonts w:ascii="Calibri-Light"/>
                <w:sz w:val="24"/>
              </w:rPr>
              <w:t>Number of calendar days delivery after receipt of order</w:t>
            </w:r>
          </w:p>
        </w:tc>
        <w:tc>
          <w:tcPr>
            <w:tcW w:w="3618" w:type="dxa"/>
          </w:tcPr>
          <w:p>
            <w:pPr>
              <w:pStyle w:val="TableParagraph"/>
              <w:spacing w:line="292" w:lineRule="exact"/>
              <w:ind w:left="466"/>
              <w:rPr>
                <w:rFonts w:ascii="Calibri-Light"/>
                <w:sz w:val="24"/>
              </w:rPr>
            </w:pPr>
            <w:r>
              <w:rPr>
                <w:rFonts w:ascii="Calibri-Light"/>
                <w:sz w:val="24"/>
              </w:rPr>
              <w:t>Payment Terms</w:t>
            </w:r>
          </w:p>
        </w:tc>
      </w:tr>
      <w:tr>
        <w:trPr>
          <w:trHeight w:val="878" w:hRule="atLeast"/>
        </w:trPr>
        <w:tc>
          <w:tcPr>
            <w:tcW w:w="5040" w:type="dxa"/>
            <w:gridSpan w:val="2"/>
          </w:tcPr>
          <w:p>
            <w:pPr>
              <w:pStyle w:val="TableParagraph"/>
              <w:spacing w:line="293" w:lineRule="exact"/>
              <w:rPr>
                <w:rFonts w:ascii="Calibri-Light"/>
                <w:sz w:val="24"/>
              </w:rPr>
            </w:pPr>
            <w:r>
              <w:rPr>
                <w:rFonts w:ascii="Calibri-Light"/>
                <w:sz w:val="24"/>
              </w:rPr>
              <w:t>Authorized Signature</w:t>
            </w:r>
          </w:p>
        </w:tc>
        <w:tc>
          <w:tcPr>
            <w:tcW w:w="3618" w:type="dxa"/>
          </w:tcPr>
          <w:p>
            <w:pPr>
              <w:pStyle w:val="TableParagraph"/>
              <w:spacing w:line="293" w:lineRule="exact"/>
              <w:ind w:left="466"/>
              <w:rPr>
                <w:rFonts w:ascii="Calibri-Light"/>
                <w:sz w:val="24"/>
              </w:rPr>
            </w:pPr>
            <w:r>
              <w:rPr>
                <w:rFonts w:ascii="Calibri-Light"/>
                <w:sz w:val="24"/>
              </w:rPr>
              <w:t>Date</w:t>
            </w:r>
          </w:p>
        </w:tc>
      </w:tr>
      <w:tr>
        <w:trPr>
          <w:trHeight w:val="587" w:hRule="atLeast"/>
        </w:trPr>
        <w:tc>
          <w:tcPr>
            <w:tcW w:w="5040" w:type="dxa"/>
            <w:gridSpan w:val="2"/>
          </w:tcPr>
          <w:p>
            <w:pPr>
              <w:pStyle w:val="TableParagraph"/>
              <w:spacing w:line="295" w:lineRule="exact"/>
              <w:rPr>
                <w:rFonts w:ascii="Calibri-Light"/>
                <w:sz w:val="24"/>
              </w:rPr>
            </w:pPr>
            <w:r>
              <w:rPr>
                <w:rFonts w:ascii="Calibri-Light"/>
                <w:sz w:val="24"/>
              </w:rPr>
              <w:t>Printed Name</w:t>
            </w:r>
          </w:p>
        </w:tc>
        <w:tc>
          <w:tcPr>
            <w:tcW w:w="3618" w:type="dxa"/>
          </w:tcPr>
          <w:p>
            <w:pPr>
              <w:pStyle w:val="TableParagraph"/>
              <w:spacing w:line="295" w:lineRule="exact"/>
              <w:ind w:left="466"/>
              <w:rPr>
                <w:rFonts w:ascii="Calibri-Light"/>
                <w:sz w:val="24"/>
              </w:rPr>
            </w:pPr>
            <w:r>
              <w:rPr>
                <w:rFonts w:ascii="Calibri-Light"/>
                <w:sz w:val="24"/>
              </w:rPr>
              <w:t>Title</w:t>
            </w:r>
          </w:p>
        </w:tc>
      </w:tr>
      <w:tr>
        <w:trPr>
          <w:trHeight w:val="585" w:hRule="atLeast"/>
        </w:trPr>
        <w:tc>
          <w:tcPr>
            <w:tcW w:w="8658" w:type="dxa"/>
            <w:gridSpan w:val="3"/>
          </w:tcPr>
          <w:p>
            <w:pPr>
              <w:pStyle w:val="TableParagraph"/>
              <w:spacing w:line="292" w:lineRule="exact"/>
              <w:rPr>
                <w:rFonts w:ascii="Calibri-Light"/>
                <w:sz w:val="24"/>
              </w:rPr>
            </w:pPr>
            <w:r>
              <w:rPr>
                <w:rFonts w:ascii="Calibri-Light"/>
                <w:sz w:val="24"/>
              </w:rPr>
              <w:t>Company Name</w:t>
            </w:r>
          </w:p>
        </w:tc>
      </w:tr>
      <w:tr>
        <w:trPr>
          <w:trHeight w:val="585" w:hRule="atLeast"/>
        </w:trPr>
        <w:tc>
          <w:tcPr>
            <w:tcW w:w="8658" w:type="dxa"/>
            <w:gridSpan w:val="3"/>
          </w:tcPr>
          <w:p>
            <w:pPr>
              <w:pStyle w:val="TableParagraph"/>
              <w:spacing w:line="292" w:lineRule="exact"/>
              <w:rPr>
                <w:rFonts w:ascii="Calibri-Light"/>
                <w:sz w:val="24"/>
              </w:rPr>
            </w:pPr>
            <w:r>
              <w:rPr>
                <w:rFonts w:ascii="Calibri-Light"/>
                <w:sz w:val="24"/>
              </w:rPr>
              <w:t>Mailing Address</w:t>
            </w:r>
          </w:p>
        </w:tc>
      </w:tr>
      <w:tr>
        <w:trPr>
          <w:trHeight w:val="587" w:hRule="atLeast"/>
        </w:trPr>
        <w:tc>
          <w:tcPr>
            <w:tcW w:w="8658" w:type="dxa"/>
            <w:gridSpan w:val="3"/>
          </w:tcPr>
          <w:p>
            <w:pPr>
              <w:pStyle w:val="TableParagraph"/>
              <w:spacing w:line="295" w:lineRule="exact"/>
              <w:rPr>
                <w:rFonts w:ascii="Calibri-Light"/>
                <w:sz w:val="24"/>
              </w:rPr>
            </w:pPr>
            <w:r>
              <w:rPr>
                <w:rFonts w:ascii="Calibri-Light"/>
                <w:sz w:val="24"/>
              </w:rPr>
              <w:t>City, State, Zip</w:t>
            </w:r>
          </w:p>
        </w:tc>
      </w:tr>
      <w:tr>
        <w:trPr>
          <w:trHeight w:val="585" w:hRule="atLeast"/>
        </w:trPr>
        <w:tc>
          <w:tcPr>
            <w:tcW w:w="4229" w:type="dxa"/>
          </w:tcPr>
          <w:p>
            <w:pPr>
              <w:pStyle w:val="TableParagraph"/>
              <w:spacing w:line="293" w:lineRule="exact"/>
              <w:rPr>
                <w:rFonts w:ascii="Calibri-Light"/>
                <w:sz w:val="24"/>
              </w:rPr>
            </w:pPr>
            <w:r>
              <w:rPr>
                <w:rFonts w:ascii="Calibri-Light"/>
                <w:sz w:val="24"/>
              </w:rPr>
              <w:t>Phone No.</w:t>
            </w:r>
          </w:p>
        </w:tc>
        <w:tc>
          <w:tcPr>
            <w:tcW w:w="4429" w:type="dxa"/>
            <w:gridSpan w:val="2"/>
          </w:tcPr>
          <w:p>
            <w:pPr>
              <w:pStyle w:val="TableParagraph"/>
              <w:spacing w:line="293" w:lineRule="exact"/>
              <w:ind w:left="468"/>
              <w:rPr>
                <w:rFonts w:ascii="Calibri-Light"/>
                <w:sz w:val="24"/>
              </w:rPr>
            </w:pPr>
            <w:r>
              <w:rPr>
                <w:rFonts w:ascii="Calibri-Light"/>
                <w:sz w:val="24"/>
              </w:rPr>
              <w:t>Federal Employer ID No.</w:t>
            </w:r>
          </w:p>
        </w:tc>
      </w:tr>
      <w:tr>
        <w:trPr>
          <w:trHeight w:val="585" w:hRule="atLeast"/>
        </w:trPr>
        <w:tc>
          <w:tcPr>
            <w:tcW w:w="4229" w:type="dxa"/>
          </w:tcPr>
          <w:p>
            <w:pPr>
              <w:pStyle w:val="TableParagraph"/>
              <w:spacing w:line="292" w:lineRule="exact"/>
              <w:rPr>
                <w:rFonts w:ascii="Calibri-Light"/>
                <w:sz w:val="24"/>
              </w:rPr>
            </w:pPr>
            <w:r>
              <w:rPr>
                <w:rFonts w:ascii="Calibri-Light"/>
                <w:sz w:val="24"/>
              </w:rPr>
              <w:t>Fax No.</w:t>
            </w:r>
          </w:p>
        </w:tc>
        <w:tc>
          <w:tcPr>
            <w:tcW w:w="4429" w:type="dxa"/>
            <w:gridSpan w:val="2"/>
          </w:tcPr>
          <w:p>
            <w:pPr>
              <w:pStyle w:val="TableParagraph"/>
              <w:spacing w:line="292" w:lineRule="exact"/>
              <w:ind w:left="468"/>
              <w:rPr>
                <w:rFonts w:ascii="Calibri-Light"/>
                <w:sz w:val="24"/>
              </w:rPr>
            </w:pPr>
            <w:r>
              <w:rPr>
                <w:rFonts w:ascii="Calibri-Light"/>
                <w:sz w:val="24"/>
              </w:rPr>
              <w:t>E-Mail Address</w:t>
            </w:r>
          </w:p>
        </w:tc>
      </w:tr>
      <w:tr>
        <w:trPr>
          <w:trHeight w:val="294" w:hRule="atLeast"/>
        </w:trPr>
        <w:tc>
          <w:tcPr>
            <w:tcW w:w="8658" w:type="dxa"/>
            <w:gridSpan w:val="3"/>
          </w:tcPr>
          <w:p>
            <w:pPr>
              <w:pStyle w:val="TableParagraph"/>
              <w:tabs>
                <w:tab w:pos="2031" w:val="left" w:leader="none"/>
                <w:tab w:pos="3566" w:val="left" w:leader="none"/>
                <w:tab w:pos="5223" w:val="left" w:leader="none"/>
              </w:tabs>
              <w:spacing w:line="275" w:lineRule="exact"/>
              <w:rPr>
                <w:rFonts w:ascii="Calibri-Light"/>
                <w:sz w:val="24"/>
              </w:rPr>
            </w:pPr>
            <w:r>
              <w:rPr>
                <w:rFonts w:ascii="Calibri-Light"/>
                <w:sz w:val="24"/>
              </w:rPr>
              <w:t>Circle</w:t>
            </w:r>
            <w:r>
              <w:rPr>
                <w:rFonts w:ascii="Calibri-Light"/>
                <w:spacing w:val="-3"/>
                <w:sz w:val="24"/>
              </w:rPr>
              <w:t> </w:t>
            </w:r>
            <w:r>
              <w:rPr>
                <w:rFonts w:ascii="Calibri-Light"/>
                <w:sz w:val="24"/>
              </w:rPr>
              <w:t>one:</w:t>
              <w:tab/>
              <w:t>Individual</w:t>
              <w:tab/>
              <w:t>Partnership</w:t>
              <w:tab/>
              <w:t>Corporation</w:t>
            </w:r>
          </w:p>
        </w:tc>
      </w:tr>
      <w:tr>
        <w:trPr>
          <w:trHeight w:val="292" w:hRule="atLeast"/>
        </w:trPr>
        <w:tc>
          <w:tcPr>
            <w:tcW w:w="8658" w:type="dxa"/>
            <w:gridSpan w:val="3"/>
          </w:tcPr>
          <w:p>
            <w:pPr>
              <w:pStyle w:val="TableParagraph"/>
              <w:tabs>
                <w:tab w:pos="7483" w:val="left" w:leader="none"/>
              </w:tabs>
              <w:spacing w:line="272" w:lineRule="exact"/>
              <w:rPr>
                <w:rFonts w:ascii="Calibri-Light"/>
                <w:sz w:val="24"/>
              </w:rPr>
            </w:pPr>
            <w:r>
              <w:rPr>
                <w:rFonts w:ascii="Calibri-Light"/>
                <w:sz w:val="24"/>
              </w:rPr>
              <w:t>If a corporation, incorporated under the laws of the State</w:t>
            </w:r>
            <w:r>
              <w:rPr>
                <w:rFonts w:ascii="Calibri-Light"/>
                <w:spacing w:val="-19"/>
                <w:sz w:val="24"/>
              </w:rPr>
              <w:t> </w:t>
            </w:r>
            <w:r>
              <w:rPr>
                <w:rFonts w:ascii="Calibri-Light"/>
                <w:sz w:val="24"/>
              </w:rPr>
              <w:t>of</w:t>
            </w:r>
            <w:r>
              <w:rPr>
                <w:rFonts w:ascii="Calibri-Light"/>
                <w:sz w:val="24"/>
                <w:u w:val="single"/>
              </w:rPr>
              <w:t> </w:t>
              <w:tab/>
            </w:r>
          </w:p>
        </w:tc>
      </w:tr>
      <w:tr>
        <w:trPr>
          <w:trHeight w:val="292" w:hRule="atLeast"/>
        </w:trPr>
        <w:tc>
          <w:tcPr>
            <w:tcW w:w="8658" w:type="dxa"/>
            <w:gridSpan w:val="3"/>
          </w:tcPr>
          <w:p>
            <w:pPr>
              <w:pStyle w:val="TableParagraph"/>
              <w:tabs>
                <w:tab w:pos="5730" w:val="left" w:leader="none"/>
                <w:tab w:pos="6265" w:val="left" w:leader="none"/>
                <w:tab w:pos="6862" w:val="left" w:leader="none"/>
              </w:tabs>
              <w:spacing w:line="272" w:lineRule="exact"/>
              <w:rPr>
                <w:rFonts w:ascii="Calibri-Light"/>
                <w:sz w:val="24"/>
              </w:rPr>
            </w:pPr>
            <w:r>
              <w:rPr>
                <w:rFonts w:ascii="Calibri-Light"/>
                <w:sz w:val="24"/>
              </w:rPr>
              <w:t>Licensed to do business in the State</w:t>
            </w:r>
            <w:r>
              <w:rPr>
                <w:rFonts w:ascii="Calibri-Light"/>
                <w:spacing w:val="-9"/>
                <w:sz w:val="24"/>
              </w:rPr>
              <w:t> </w:t>
            </w:r>
            <w:r>
              <w:rPr>
                <w:rFonts w:ascii="Calibri-Light"/>
                <w:sz w:val="24"/>
              </w:rPr>
              <w:t>of</w:t>
            </w:r>
            <w:r>
              <w:rPr>
                <w:rFonts w:ascii="Calibri-Light"/>
                <w:spacing w:val="-2"/>
                <w:sz w:val="24"/>
              </w:rPr>
              <w:t> </w:t>
            </w:r>
            <w:r>
              <w:rPr>
                <w:rFonts w:ascii="Calibri-Light"/>
                <w:sz w:val="24"/>
              </w:rPr>
              <w:t>Missouri?</w:t>
            </w:r>
            <w:r>
              <w:rPr>
                <w:rFonts w:ascii="Calibri-Light"/>
                <w:sz w:val="24"/>
                <w:u w:val="single"/>
              </w:rPr>
              <w:t> </w:t>
              <w:tab/>
            </w:r>
            <w:r>
              <w:rPr>
                <w:rFonts w:ascii="Calibri-Light"/>
                <w:sz w:val="24"/>
              </w:rPr>
              <w:t>yes</w:t>
              <w:tab/>
            </w:r>
            <w:r>
              <w:rPr>
                <w:rFonts w:ascii="Calibri-Light"/>
                <w:sz w:val="24"/>
                <w:u w:val="single"/>
              </w:rPr>
              <w:t> </w:t>
              <w:tab/>
            </w:r>
            <w:r>
              <w:rPr>
                <w:rFonts w:ascii="Calibri-Light"/>
                <w:sz w:val="24"/>
              </w:rPr>
              <w:t>no</w:t>
            </w:r>
          </w:p>
        </w:tc>
      </w:tr>
    </w:tbl>
    <w:p>
      <w:pPr>
        <w:pStyle w:val="BodyText"/>
        <w:spacing w:before="8"/>
        <w:rPr>
          <w:sz w:val="16"/>
        </w:rPr>
      </w:pPr>
    </w:p>
    <w:p>
      <w:pPr>
        <w:pStyle w:val="BodyText"/>
        <w:ind w:left="1826"/>
      </w:pPr>
      <w:r>
        <w:rPr/>
        <w:t>This signature sheet must be returned with your proposal.</w:t>
      </w:r>
    </w:p>
    <w:p>
      <w:pPr>
        <w:spacing w:after="0"/>
        <w:sectPr>
          <w:pgSz w:w="12240" w:h="15840"/>
          <w:pgMar w:header="0" w:footer="894" w:top="680" w:bottom="1080" w:left="600" w:right="500"/>
        </w:sectPr>
      </w:pPr>
    </w:p>
    <w:p>
      <w:pPr>
        <w:pStyle w:val="BodyText"/>
        <w:spacing w:line="325" w:lineRule="exact"/>
        <w:ind w:left="2254"/>
      </w:pPr>
      <w:r>
        <w:rPr/>
        <w:t>SUPPLIER DIVERSITY PARTICIPATION FORM</w:t>
      </w:r>
    </w:p>
    <w:p>
      <w:pPr>
        <w:pStyle w:val="BodyText"/>
        <w:spacing w:before="8"/>
        <w:rPr>
          <w:sz w:val="19"/>
        </w:rPr>
      </w:pPr>
    </w:p>
    <w:p>
      <w:pPr>
        <w:pStyle w:val="BodyText"/>
        <w:spacing w:line="204" w:lineRule="auto"/>
        <w:ind w:left="120" w:right="276"/>
      </w:pPr>
      <w:r>
        <w:rPr/>
        <w:t>The contractor/supplier must indicate below the percentage of diverse supplier participation committed to in relation to the total dollar value of the contract. Please provide this information whether the contractor/supplier is awarded one, some, or all of the categories being proposed. Overall the diverse supplier participation must not be contingent upon award of a specific category. The contractor/supplier, if awarded a contract, must be able to achieve the stated participation for the resulting contract regardless of the categories awarded or not awarded. The contractor/supplier must be able to achieve participation stated below for the total value of the awarded contract(s). If the contractor/supplier is a certified diverse supplier, the contractor/supplier may indicate 100% participation below. We also ask that a diverse supplier we contract with directly provide us with any supplier diversity participation your firm does that helps to fulfill the contract. Listed below are definitions of direct versus indirect 2</w:t>
      </w:r>
      <w:r>
        <w:rPr>
          <w:position w:val="8"/>
          <w:sz w:val="16"/>
        </w:rPr>
        <w:t>nd </w:t>
      </w:r>
      <w:r>
        <w:rPr/>
        <w:t>Tier spending:</w:t>
      </w:r>
    </w:p>
    <w:p>
      <w:pPr>
        <w:pStyle w:val="BodyText"/>
        <w:spacing w:before="8"/>
        <w:rPr>
          <w:sz w:val="20"/>
        </w:rPr>
      </w:pPr>
    </w:p>
    <w:p>
      <w:pPr>
        <w:pStyle w:val="ListParagraph"/>
        <w:numPr>
          <w:ilvl w:val="0"/>
          <w:numId w:val="8"/>
        </w:numPr>
        <w:tabs>
          <w:tab w:pos="840" w:val="left" w:leader="none"/>
          <w:tab w:pos="841" w:val="left" w:leader="none"/>
        </w:tabs>
        <w:spacing w:line="201" w:lineRule="auto" w:before="0" w:after="0"/>
        <w:ind w:left="840" w:right="236" w:hanging="360"/>
        <w:jc w:val="left"/>
        <w:rPr>
          <w:sz w:val="24"/>
        </w:rPr>
      </w:pPr>
      <w:r>
        <w:rPr/>
        <w:pict>
          <v:line style="position:absolute;mso-position-horizontal-relative:page;mso-position-vertical-relative:paragraph;z-index:-21184" from="72.024002pt,13.740493pt" to="189.024002pt,13.740493pt" stroked="true" strokeweight=".6pt" strokecolor="#000000">
            <v:stroke dashstyle="solid"/>
            <w10:wrap type="none"/>
          </v:line>
        </w:pict>
      </w:r>
      <w:r>
        <w:rPr>
          <w:sz w:val="24"/>
        </w:rPr>
        <w:t>Direct 2</w:t>
      </w:r>
      <w:r>
        <w:rPr>
          <w:position w:val="8"/>
          <w:sz w:val="16"/>
        </w:rPr>
        <w:t>nd </w:t>
      </w:r>
      <w:r>
        <w:rPr>
          <w:sz w:val="24"/>
        </w:rPr>
        <w:t>Tier spending: This is diverse supplier spending by a first tier supplier of goods and/ or services that directly fulfills a UMSSC contract. The principle to follow— if the diverse supplier spending by the first tier supplier can be traced and tracked specifically to the contract, this is direct 2</w:t>
      </w:r>
      <w:r>
        <w:rPr>
          <w:position w:val="8"/>
          <w:sz w:val="16"/>
        </w:rPr>
        <w:t>nd </w:t>
      </w:r>
      <w:r>
        <w:rPr>
          <w:sz w:val="24"/>
        </w:rPr>
        <w:t>tier</w:t>
      </w:r>
      <w:r>
        <w:rPr>
          <w:spacing w:val="-8"/>
          <w:sz w:val="24"/>
        </w:rPr>
        <w:t> </w:t>
      </w:r>
      <w:r>
        <w:rPr>
          <w:sz w:val="24"/>
        </w:rPr>
        <w:t>spending.</w:t>
      </w:r>
    </w:p>
    <w:p>
      <w:pPr>
        <w:pStyle w:val="ListParagraph"/>
        <w:numPr>
          <w:ilvl w:val="0"/>
          <w:numId w:val="9"/>
        </w:numPr>
        <w:tabs>
          <w:tab w:pos="1561" w:val="left" w:leader="none"/>
        </w:tabs>
        <w:spacing w:line="204" w:lineRule="auto" w:before="1" w:after="0"/>
        <w:ind w:left="1560" w:right="246" w:hanging="360"/>
        <w:jc w:val="left"/>
        <w:rPr>
          <w:sz w:val="24"/>
        </w:rPr>
      </w:pPr>
      <w:r>
        <w:rPr/>
        <w:pict>
          <v:line style="position:absolute;mso-position-horizontal-relative:page;mso-position-vertical-relative:paragraph;z-index:1144" from="108.019997pt,43.153072pt" to="502.289997pt,43.153072pt" stroked="true" strokeweight=".6pt" strokecolor="#000000">
            <v:stroke dashstyle="solid"/>
            <w10:wrap type="none"/>
          </v:line>
        </w:pict>
      </w:r>
      <w:r>
        <w:rPr>
          <w:sz w:val="24"/>
          <w:u w:val="single"/>
        </w:rPr>
        <w:t>Example: Company A is a prime supplier that sells UMSSC Health System medical supplies. Masks that are supplied to fulfill the contract come from a woman-owned business. This would be</w:t>
      </w:r>
      <w:r>
        <w:rPr>
          <w:sz w:val="24"/>
        </w:rPr>
        <w:t> called direct 2</w:t>
      </w:r>
      <w:r>
        <w:rPr>
          <w:position w:val="8"/>
          <w:sz w:val="16"/>
        </w:rPr>
        <w:t>nd </w:t>
      </w:r>
      <w:r>
        <w:rPr>
          <w:sz w:val="24"/>
        </w:rPr>
        <w:t>tier as the purchase is directly fulfilling the contractual</w:t>
      </w:r>
      <w:r>
        <w:rPr>
          <w:spacing w:val="-27"/>
          <w:sz w:val="24"/>
        </w:rPr>
        <w:t> </w:t>
      </w:r>
      <w:r>
        <w:rPr>
          <w:sz w:val="24"/>
        </w:rPr>
        <w:t>obligation.</w:t>
      </w:r>
    </w:p>
    <w:p>
      <w:pPr>
        <w:pStyle w:val="ListParagraph"/>
        <w:numPr>
          <w:ilvl w:val="0"/>
          <w:numId w:val="9"/>
        </w:numPr>
        <w:tabs>
          <w:tab w:pos="1561" w:val="left" w:leader="none"/>
        </w:tabs>
        <w:spacing w:line="204" w:lineRule="auto" w:before="0" w:after="0"/>
        <w:ind w:left="1560" w:right="355" w:hanging="360"/>
        <w:jc w:val="left"/>
        <w:rPr>
          <w:sz w:val="24"/>
        </w:rPr>
      </w:pPr>
      <w:r>
        <w:rPr/>
        <w:pict>
          <v:line style="position:absolute;mso-position-horizontal-relative:page;mso-position-vertical-relative:paragraph;z-index:-21136" from="108.019997pt,28.463089pt" to="552.929997pt,28.463089pt" stroked="true" strokeweight=".6pt" strokecolor="#000000">
            <v:stroke dashstyle="solid"/>
            <w10:wrap type="none"/>
          </v:line>
        </w:pict>
      </w:r>
      <w:r>
        <w:rPr>
          <w:sz w:val="24"/>
          <w:u w:val="single"/>
        </w:rPr>
        <w:t>Example: Company B is a prime supplier of office products to UMSSC. Ink pens that are</w:t>
      </w:r>
      <w:r>
        <w:rPr>
          <w:spacing w:val="-33"/>
          <w:sz w:val="24"/>
          <w:u w:val="single"/>
        </w:rPr>
        <w:t> </w:t>
      </w:r>
      <w:r>
        <w:rPr>
          <w:sz w:val="24"/>
          <w:u w:val="single"/>
        </w:rPr>
        <w:t>supplied</w:t>
      </w:r>
      <w:r>
        <w:rPr>
          <w:sz w:val="24"/>
        </w:rPr>
        <w:t> are provided by a minority-owned business. This would also be direct 2</w:t>
      </w:r>
      <w:r>
        <w:rPr>
          <w:position w:val="8"/>
          <w:sz w:val="16"/>
        </w:rPr>
        <w:t>nd </w:t>
      </w:r>
      <w:r>
        <w:rPr>
          <w:sz w:val="24"/>
        </w:rPr>
        <w:t>Tier. Dollars can be</w:t>
      </w:r>
      <w:r>
        <w:rPr>
          <w:sz w:val="24"/>
          <w:u w:val="single"/>
        </w:rPr>
        <w:t> tracked and traced to fulfilling the</w:t>
      </w:r>
      <w:r>
        <w:rPr>
          <w:spacing w:val="-1"/>
          <w:sz w:val="24"/>
          <w:u w:val="single"/>
        </w:rPr>
        <w:t> </w:t>
      </w:r>
      <w:r>
        <w:rPr>
          <w:sz w:val="24"/>
          <w:u w:val="single"/>
        </w:rPr>
        <w:t>contract.</w:t>
      </w:r>
    </w:p>
    <w:p>
      <w:pPr>
        <w:pStyle w:val="BodyText"/>
        <w:spacing w:before="10"/>
        <w:rPr>
          <w:sz w:val="20"/>
        </w:rPr>
      </w:pPr>
    </w:p>
    <w:p>
      <w:pPr>
        <w:pStyle w:val="ListParagraph"/>
        <w:numPr>
          <w:ilvl w:val="0"/>
          <w:numId w:val="8"/>
        </w:numPr>
        <w:tabs>
          <w:tab w:pos="841" w:val="left" w:leader="none"/>
        </w:tabs>
        <w:spacing w:line="201" w:lineRule="auto" w:before="1" w:after="0"/>
        <w:ind w:left="840" w:right="456" w:hanging="360"/>
        <w:jc w:val="both"/>
        <w:rPr>
          <w:sz w:val="24"/>
        </w:rPr>
      </w:pPr>
      <w:r>
        <w:rPr/>
        <w:pict>
          <v:line style="position:absolute;mso-position-horizontal-relative:page;mso-position-vertical-relative:paragraph;z-index:-21112" from="72.024002pt,13.790469pt" to="197.184002pt,13.790469pt" stroked="true" strokeweight=".6pt" strokecolor="#000000">
            <v:stroke dashstyle="solid"/>
            <w10:wrap type="none"/>
          </v:line>
        </w:pict>
      </w:r>
      <w:r>
        <w:rPr>
          <w:sz w:val="24"/>
        </w:rPr>
        <w:t>Indirect 2</w:t>
      </w:r>
      <w:r>
        <w:rPr>
          <w:position w:val="8"/>
          <w:sz w:val="16"/>
        </w:rPr>
        <w:t>nd </w:t>
      </w:r>
      <w:r>
        <w:rPr>
          <w:sz w:val="24"/>
        </w:rPr>
        <w:t>Tier spending: Calculates the 2</w:t>
      </w:r>
      <w:r>
        <w:rPr>
          <w:position w:val="8"/>
          <w:sz w:val="16"/>
        </w:rPr>
        <w:t>nd </w:t>
      </w:r>
      <w:r>
        <w:rPr>
          <w:sz w:val="24"/>
        </w:rPr>
        <w:t>Tier spending by prorating the prime supplier’s </w:t>
      </w:r>
      <w:r>
        <w:rPr>
          <w:spacing w:val="-10"/>
          <w:sz w:val="24"/>
        </w:rPr>
        <w:t>company- </w:t>
      </w:r>
      <w:r>
        <w:rPr>
          <w:sz w:val="24"/>
        </w:rPr>
        <w:t>wide diverse supplier spending with the percentage of its total business represented by the customer company’s business.</w:t>
      </w:r>
    </w:p>
    <w:p>
      <w:pPr>
        <w:pStyle w:val="ListParagraph"/>
        <w:numPr>
          <w:ilvl w:val="0"/>
          <w:numId w:val="10"/>
        </w:numPr>
        <w:tabs>
          <w:tab w:pos="1561" w:val="left" w:leader="none"/>
        </w:tabs>
        <w:spacing w:line="204" w:lineRule="auto" w:before="0" w:after="0"/>
        <w:ind w:left="1560" w:right="288" w:hanging="360"/>
        <w:jc w:val="left"/>
        <w:rPr>
          <w:sz w:val="24"/>
        </w:rPr>
      </w:pPr>
      <w:r>
        <w:rPr>
          <w:sz w:val="24"/>
        </w:rPr>
        <w:t>Example: Company A spends $100,000 with a Veteran-owned landscaping company. UMSSC comprises 20% of that company’s/subsidiary’s business revenue. Company A can report</w:t>
      </w:r>
      <w:r>
        <w:rPr>
          <w:spacing w:val="-29"/>
          <w:sz w:val="24"/>
        </w:rPr>
        <w:t> </w:t>
      </w:r>
      <w:r>
        <w:rPr>
          <w:sz w:val="24"/>
        </w:rPr>
        <w:t>$20,000 of the amount spent for landscaping as part of its reporting to</w:t>
      </w:r>
      <w:r>
        <w:rPr>
          <w:spacing w:val="-3"/>
          <w:sz w:val="24"/>
        </w:rPr>
        <w:t> </w:t>
      </w:r>
      <w:r>
        <w:rPr>
          <w:sz w:val="24"/>
        </w:rPr>
        <w:t>UMSSC.</w:t>
      </w:r>
    </w:p>
    <w:p>
      <w:pPr>
        <w:pStyle w:val="ListParagraph"/>
        <w:numPr>
          <w:ilvl w:val="0"/>
          <w:numId w:val="10"/>
        </w:numPr>
        <w:tabs>
          <w:tab w:pos="1561" w:val="left" w:leader="none"/>
        </w:tabs>
        <w:spacing w:line="204" w:lineRule="auto" w:before="0" w:after="0"/>
        <w:ind w:left="1560" w:right="405" w:hanging="360"/>
        <w:jc w:val="left"/>
        <w:rPr>
          <w:sz w:val="24"/>
        </w:rPr>
      </w:pPr>
      <w:r>
        <w:rPr>
          <w:sz w:val="24"/>
        </w:rPr>
        <w:t>Example: Company B spends $150 million dollars in diverse supplier spending for its enterprise. UMSSC comprises 1% of Company B’s overall revenue. Company B can the report 1% ($1.5 million) as supplier diversity spending to</w:t>
      </w:r>
      <w:r>
        <w:rPr>
          <w:spacing w:val="-2"/>
          <w:sz w:val="24"/>
        </w:rPr>
        <w:t> </w:t>
      </w:r>
      <w:r>
        <w:rPr>
          <w:sz w:val="24"/>
        </w:rPr>
        <w:t>UMSSC.</w:t>
      </w:r>
    </w:p>
    <w:p>
      <w:pPr>
        <w:pStyle w:val="BodyText"/>
        <w:spacing w:before="12"/>
        <w:rPr>
          <w:sz w:val="16"/>
        </w:rPr>
      </w:pPr>
    </w:p>
    <w:p>
      <w:pPr>
        <w:pStyle w:val="BodyText"/>
        <w:spacing w:before="1"/>
        <w:ind w:left="120"/>
      </w:pPr>
      <w:r>
        <w:rPr/>
        <w:t>The contractor/ supplier is committing to the following diverse supplier participation on this proposal:</w:t>
      </w:r>
    </w:p>
    <w:p>
      <w:pPr>
        <w:pStyle w:val="BodyText"/>
        <w:spacing w:before="7"/>
        <w:rPr>
          <w:sz w:val="19"/>
        </w:rPr>
      </w:pPr>
    </w:p>
    <w:p>
      <w:pPr>
        <w:pStyle w:val="BodyText"/>
        <w:spacing w:line="204" w:lineRule="auto" w:before="1"/>
        <w:ind w:left="119"/>
      </w:pPr>
      <w:r>
        <w:rPr/>
        <w:pict>
          <v:shape style="position:absolute;margin-left:135.860001pt;margin-top:57.528862pt;width:340.5pt;height:79.8pt;mso-position-horizontal-relative:page;mso-position-vertical-relative:paragraph;z-index:12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2048"/>
                    <w:gridCol w:w="2048"/>
                  </w:tblGrid>
                  <w:tr>
                    <w:trPr>
                      <w:trHeight w:val="587" w:hRule="atLeast"/>
                    </w:trPr>
                    <w:tc>
                      <w:tcPr>
                        <w:tcW w:w="2701" w:type="dxa"/>
                      </w:tcPr>
                      <w:p>
                        <w:pPr>
                          <w:pStyle w:val="TableParagraph"/>
                          <w:spacing w:before="1"/>
                          <w:ind w:left="0"/>
                          <w:rPr>
                            <w:rFonts w:ascii="Calibri-Light"/>
                            <w:sz w:val="19"/>
                          </w:rPr>
                        </w:pPr>
                      </w:p>
                      <w:p>
                        <w:pPr>
                          <w:pStyle w:val="TableParagraph"/>
                          <w:spacing w:line="293" w:lineRule="exact"/>
                          <w:ind w:left="107"/>
                          <w:rPr>
                            <w:rFonts w:ascii="Calibri-Light"/>
                            <w:sz w:val="24"/>
                          </w:rPr>
                        </w:pPr>
                        <w:r>
                          <w:rPr>
                            <w:rFonts w:ascii="Calibri-Light"/>
                            <w:sz w:val="24"/>
                          </w:rPr>
                          <w:t>Supplier Name</w:t>
                        </w:r>
                      </w:p>
                    </w:tc>
                    <w:tc>
                      <w:tcPr>
                        <w:tcW w:w="2048" w:type="dxa"/>
                      </w:tcPr>
                      <w:p>
                        <w:pPr>
                          <w:pStyle w:val="TableParagraph"/>
                          <w:spacing w:before="1"/>
                          <w:ind w:left="0"/>
                          <w:rPr>
                            <w:rFonts w:ascii="Calibri-Light"/>
                            <w:sz w:val="19"/>
                          </w:rPr>
                        </w:pPr>
                      </w:p>
                      <w:p>
                        <w:pPr>
                          <w:pStyle w:val="TableParagraph"/>
                          <w:spacing w:line="293" w:lineRule="exact"/>
                          <w:ind w:left="107"/>
                          <w:rPr>
                            <w:rFonts w:ascii="Calibri-Light"/>
                            <w:sz w:val="24"/>
                          </w:rPr>
                        </w:pPr>
                        <w:r>
                          <w:rPr>
                            <w:rFonts w:ascii="Calibri-Light"/>
                            <w:sz w:val="24"/>
                          </w:rPr>
                          <w:t>% of Contract</w:t>
                        </w:r>
                      </w:p>
                    </w:tc>
                    <w:tc>
                      <w:tcPr>
                        <w:tcW w:w="2048" w:type="dxa"/>
                      </w:tcPr>
                      <w:p>
                        <w:pPr>
                          <w:pStyle w:val="TableParagraph"/>
                          <w:spacing w:line="292" w:lineRule="exact" w:before="30"/>
                          <w:ind w:left="106" w:right="20"/>
                          <w:rPr>
                            <w:rFonts w:ascii="Calibri-Light"/>
                            <w:sz w:val="24"/>
                          </w:rPr>
                        </w:pPr>
                        <w:r>
                          <w:rPr>
                            <w:rFonts w:ascii="Calibri-Light"/>
                            <w:sz w:val="24"/>
                          </w:rPr>
                          <w:t>Specify 1</w:t>
                        </w:r>
                        <w:r>
                          <w:rPr>
                            <w:rFonts w:ascii="Calibri-Light"/>
                            <w:position w:val="8"/>
                            <w:sz w:val="16"/>
                          </w:rPr>
                          <w:t>st </w:t>
                        </w:r>
                        <w:r>
                          <w:rPr>
                            <w:rFonts w:ascii="Calibri-Light"/>
                            <w:sz w:val="24"/>
                          </w:rPr>
                          <w:t>or 2</w:t>
                        </w:r>
                        <w:r>
                          <w:rPr>
                            <w:rFonts w:ascii="Calibri-Light"/>
                            <w:position w:val="8"/>
                            <w:sz w:val="16"/>
                          </w:rPr>
                          <w:t>nd </w:t>
                        </w:r>
                        <w:r>
                          <w:rPr>
                            <w:rFonts w:ascii="Calibri-Light"/>
                            <w:sz w:val="24"/>
                          </w:rPr>
                          <w:t>Tier</w:t>
                        </w:r>
                      </w:p>
                    </w:tc>
                  </w:tr>
                  <w:tr>
                    <w:trPr>
                      <w:trHeight w:val="412" w:hRule="atLeast"/>
                    </w:trPr>
                    <w:tc>
                      <w:tcPr>
                        <w:tcW w:w="2701" w:type="dxa"/>
                      </w:tcPr>
                      <w:p>
                        <w:pPr>
                          <w:pStyle w:val="TableParagraph"/>
                          <w:ind w:left="0"/>
                          <w:rPr>
                            <w:rFonts w:ascii="Times New Roman"/>
                            <w:sz w:val="22"/>
                          </w:rPr>
                        </w:pPr>
                      </w:p>
                    </w:tc>
                    <w:tc>
                      <w:tcPr>
                        <w:tcW w:w="2048" w:type="dxa"/>
                      </w:tcPr>
                      <w:p>
                        <w:pPr>
                          <w:pStyle w:val="TableParagraph"/>
                          <w:ind w:left="0"/>
                          <w:rPr>
                            <w:rFonts w:ascii="Times New Roman"/>
                            <w:sz w:val="22"/>
                          </w:rPr>
                        </w:pPr>
                      </w:p>
                    </w:tc>
                    <w:tc>
                      <w:tcPr>
                        <w:tcW w:w="2048" w:type="dxa"/>
                      </w:tcPr>
                      <w:p>
                        <w:pPr>
                          <w:pStyle w:val="TableParagraph"/>
                          <w:ind w:left="0"/>
                          <w:rPr>
                            <w:rFonts w:ascii="Times New Roman"/>
                            <w:sz w:val="22"/>
                          </w:rPr>
                        </w:pPr>
                      </w:p>
                    </w:tc>
                  </w:tr>
                  <w:tr>
                    <w:trPr>
                      <w:trHeight w:val="529" w:hRule="atLeast"/>
                    </w:trPr>
                    <w:tc>
                      <w:tcPr>
                        <w:tcW w:w="2701" w:type="dxa"/>
                      </w:tcPr>
                      <w:p>
                        <w:pPr>
                          <w:pStyle w:val="TableParagraph"/>
                          <w:ind w:left="0"/>
                          <w:rPr>
                            <w:rFonts w:ascii="Times New Roman"/>
                            <w:sz w:val="22"/>
                          </w:rPr>
                        </w:pPr>
                      </w:p>
                    </w:tc>
                    <w:tc>
                      <w:tcPr>
                        <w:tcW w:w="2048" w:type="dxa"/>
                      </w:tcPr>
                      <w:p>
                        <w:pPr>
                          <w:pStyle w:val="TableParagraph"/>
                          <w:ind w:left="0"/>
                          <w:rPr>
                            <w:rFonts w:ascii="Times New Roman"/>
                            <w:sz w:val="22"/>
                          </w:rPr>
                        </w:pPr>
                      </w:p>
                    </w:tc>
                    <w:tc>
                      <w:tcPr>
                        <w:tcW w:w="2048" w:type="dxa"/>
                      </w:tcPr>
                      <w:p>
                        <w:pPr>
                          <w:pStyle w:val="TableParagraph"/>
                          <w:ind w:left="0"/>
                          <w:rPr>
                            <w:rFonts w:ascii="Times New Roman"/>
                            <w:sz w:val="22"/>
                          </w:rPr>
                        </w:pPr>
                      </w:p>
                    </w:tc>
                  </w:tr>
                </w:tbl>
                <w:p>
                  <w:pPr>
                    <w:pStyle w:val="BodyText"/>
                  </w:pPr>
                </w:p>
              </w:txbxContent>
            </v:textbox>
            <w10:wrap type="none"/>
          </v:shape>
        </w:pict>
      </w:r>
      <w:r>
        <w:rPr/>
        <w:t>Complete the following table indicating the suppliers that will be used as direct subcontractors to meet the participation levels indicated. If you are committing to indirect 2</w:t>
      </w:r>
      <w:r>
        <w:rPr>
          <w:position w:val="8"/>
          <w:sz w:val="16"/>
        </w:rPr>
        <w:t>nd </w:t>
      </w:r>
      <w:r>
        <w:rPr/>
        <w:t>tier spending, please list as “indirect” under supplier name and indicate what percentage you will target. If your company will not have a supplier diversity component, please indicate that below as well.</w:t>
      </w:r>
    </w:p>
    <w:p>
      <w:pPr>
        <w:pStyle w:val="BodyText"/>
      </w:pPr>
    </w:p>
    <w:p>
      <w:pPr>
        <w:pStyle w:val="BodyText"/>
      </w:pPr>
    </w:p>
    <w:p>
      <w:pPr>
        <w:pStyle w:val="BodyText"/>
      </w:pPr>
    </w:p>
    <w:p>
      <w:pPr>
        <w:pStyle w:val="BodyText"/>
        <w:spacing w:before="6"/>
        <w:rPr>
          <w:sz w:val="35"/>
        </w:rPr>
      </w:pPr>
    </w:p>
    <w:p>
      <w:pPr>
        <w:pStyle w:val="BodyText"/>
        <w:spacing w:before="1"/>
        <w:ind w:left="2494"/>
      </w:pPr>
      <w:r>
        <w:rPr/>
        <w:t>****THIS FORM MUST BE SUBMITTED WITH THE RESPONSE</w:t>
      </w:r>
    </w:p>
    <w:p>
      <w:pPr>
        <w:spacing w:after="0"/>
        <w:sectPr>
          <w:pgSz w:w="12240" w:h="15840"/>
          <w:pgMar w:header="0" w:footer="894" w:top="980" w:bottom="1120" w:left="600" w:right="500"/>
        </w:sectPr>
      </w:pPr>
    </w:p>
    <w:p>
      <w:pPr>
        <w:pStyle w:val="BodyText"/>
        <w:spacing w:line="318" w:lineRule="exact"/>
        <w:ind w:left="480"/>
      </w:pPr>
      <w:r>
        <w:rPr/>
        <w:t>Supplier Diversity Certifying Agencies</w:t>
      </w:r>
    </w:p>
    <w:p>
      <w:pPr>
        <w:pStyle w:val="BodyText"/>
        <w:spacing w:before="8"/>
        <w:rPr>
          <w:sz w:val="19"/>
        </w:rPr>
      </w:pPr>
    </w:p>
    <w:p>
      <w:pPr>
        <w:pStyle w:val="BodyText"/>
        <w:spacing w:line="204" w:lineRule="auto"/>
        <w:ind w:left="479" w:right="229"/>
      </w:pPr>
      <w:r>
        <w:rPr/>
        <w:t>The list below provides a list of agencies that do certification for MBE, WBE, DBE, Veteran and Veteran Service Disabled businesses. Bidders are responsible for obtaining information regarding the certification status of a firm for the prospective sub-contractor being used. A list of certified firms may also be obtained from many of the agencies listed below, including the State of Missouri’s websites for M/WBE’s and Service- Disabled Veterans.</w:t>
      </w:r>
    </w:p>
    <w:p>
      <w:pPr>
        <w:pStyle w:val="BodyText"/>
        <w:spacing w:before="2"/>
        <w:rPr>
          <w:sz w:val="17"/>
        </w:rPr>
      </w:pPr>
    </w:p>
    <w:p>
      <w:pPr>
        <w:pStyle w:val="BodyText"/>
        <w:spacing w:line="319" w:lineRule="exact"/>
        <w:ind w:left="479"/>
      </w:pPr>
      <w:r>
        <w:rPr/>
        <w:t>State of Missouri Office of Equal Opportunity</w:t>
      </w:r>
    </w:p>
    <w:p>
      <w:pPr>
        <w:pStyle w:val="BodyText"/>
        <w:spacing w:line="204" w:lineRule="auto" w:before="15"/>
        <w:ind w:left="479" w:right="6319"/>
      </w:pPr>
      <w:r>
        <w:rPr/>
        <w:t>P.O. Box 809, Harry S. Truman office Building Room 630, 301 W. High Street</w:t>
      </w:r>
    </w:p>
    <w:p>
      <w:pPr>
        <w:pStyle w:val="BodyText"/>
        <w:spacing w:line="204" w:lineRule="auto"/>
        <w:ind w:left="479" w:right="8163"/>
      </w:pPr>
      <w:r>
        <w:rPr/>
        <w:t>Jefferson City, MO. 65102 573-751-8130</w:t>
      </w:r>
    </w:p>
    <w:p>
      <w:pPr>
        <w:pStyle w:val="BodyText"/>
        <w:spacing w:line="275" w:lineRule="exact"/>
        <w:ind w:left="479"/>
      </w:pPr>
      <w:hyperlink r:id="rId10">
        <w:r>
          <w:rPr/>
          <w:t>www.oeo.mo.gov</w:t>
        </w:r>
      </w:hyperlink>
    </w:p>
    <w:p>
      <w:pPr>
        <w:pStyle w:val="BodyText"/>
        <w:spacing w:line="319" w:lineRule="exact"/>
        <w:ind w:left="479"/>
      </w:pPr>
      <w:r>
        <w:rPr/>
        <w:t>Missouri M/WBE Certification and database</w:t>
      </w:r>
    </w:p>
    <w:p>
      <w:pPr>
        <w:pStyle w:val="BodyText"/>
        <w:spacing w:before="6"/>
        <w:rPr>
          <w:sz w:val="19"/>
        </w:rPr>
      </w:pPr>
    </w:p>
    <w:p>
      <w:pPr>
        <w:pStyle w:val="BodyText"/>
        <w:spacing w:line="204" w:lineRule="auto"/>
        <w:ind w:left="479" w:right="6003"/>
      </w:pPr>
      <w:r>
        <w:rPr/>
        <w:t>State of Missouri Office of Administration Division of Purchasing &amp; Materials Management</w:t>
      </w:r>
    </w:p>
    <w:p>
      <w:pPr>
        <w:pStyle w:val="BodyText"/>
        <w:spacing w:line="275" w:lineRule="exact"/>
        <w:ind w:left="479"/>
      </w:pPr>
      <w:r>
        <w:rPr/>
        <w:t>P.O. Box 809</w:t>
      </w:r>
    </w:p>
    <w:p>
      <w:pPr>
        <w:pStyle w:val="BodyText"/>
        <w:spacing w:line="204" w:lineRule="auto" w:before="16"/>
        <w:ind w:left="479" w:right="8221"/>
      </w:pPr>
      <w:r>
        <w:rPr/>
        <w:t>Jefferson City, MO 65102 573-751-3273</w:t>
      </w:r>
    </w:p>
    <w:p>
      <w:pPr>
        <w:pStyle w:val="BodyText"/>
        <w:spacing w:line="204" w:lineRule="auto"/>
        <w:ind w:left="479" w:right="5598"/>
      </w:pPr>
      <w:hyperlink r:id="rId11">
        <w:r>
          <w:rPr/>
          <w:t>www.oa.mo.gov/purchasing-materials-management</w:t>
        </w:r>
      </w:hyperlink>
      <w:r>
        <w:rPr/>
        <w:t> Missouri Service Disabled Veterans Website</w:t>
      </w:r>
    </w:p>
    <w:p>
      <w:pPr>
        <w:pStyle w:val="BodyText"/>
        <w:spacing w:before="1"/>
        <w:rPr>
          <w:sz w:val="20"/>
        </w:rPr>
      </w:pPr>
    </w:p>
    <w:p>
      <w:pPr>
        <w:pStyle w:val="BodyText"/>
        <w:spacing w:line="204" w:lineRule="auto" w:before="1"/>
        <w:ind w:left="479" w:right="6589"/>
      </w:pPr>
      <w:r>
        <w:rPr/>
        <w:t>State of Kansas Department of Commerce M/WBE and DBE Department</w:t>
      </w:r>
    </w:p>
    <w:p>
      <w:pPr>
        <w:pStyle w:val="BodyText"/>
        <w:spacing w:line="275" w:lineRule="exact"/>
        <w:ind w:left="479"/>
      </w:pPr>
      <w:r>
        <w:rPr/>
        <w:t>1000 S.W. Jackson St. Suite 100</w:t>
      </w:r>
    </w:p>
    <w:p>
      <w:pPr>
        <w:pStyle w:val="BodyText"/>
        <w:spacing w:line="293" w:lineRule="exact"/>
        <w:ind w:left="479"/>
      </w:pPr>
      <w:r>
        <w:rPr/>
        <w:t>Topeka, KS. 60612</w:t>
      </w:r>
    </w:p>
    <w:p>
      <w:pPr>
        <w:pStyle w:val="BodyText"/>
        <w:spacing w:line="293" w:lineRule="exact"/>
        <w:ind w:left="479"/>
      </w:pPr>
      <w:r>
        <w:rPr/>
        <w:t>785-296-3425</w:t>
      </w:r>
    </w:p>
    <w:p>
      <w:pPr>
        <w:pStyle w:val="BodyText"/>
        <w:spacing w:line="293" w:lineRule="exact"/>
        <w:ind w:left="479"/>
      </w:pPr>
      <w:hyperlink r:id="rId12">
        <w:r>
          <w:rPr/>
          <w:t>www.kansascommerce.com</w:t>
        </w:r>
      </w:hyperlink>
    </w:p>
    <w:p>
      <w:pPr>
        <w:pStyle w:val="BodyText"/>
        <w:spacing w:line="319" w:lineRule="exact"/>
        <w:ind w:left="479"/>
      </w:pPr>
      <w:r>
        <w:rPr/>
        <w:t>Kansas M/WBE and DBE database and certification</w:t>
      </w:r>
    </w:p>
    <w:p>
      <w:pPr>
        <w:pStyle w:val="BodyText"/>
        <w:spacing w:before="7"/>
        <w:rPr>
          <w:sz w:val="19"/>
        </w:rPr>
      </w:pPr>
    </w:p>
    <w:p>
      <w:pPr>
        <w:pStyle w:val="BodyText"/>
        <w:spacing w:line="204" w:lineRule="auto" w:before="1"/>
        <w:ind w:left="479" w:right="6319"/>
      </w:pPr>
      <w:r>
        <w:rPr/>
        <w:t>Missouri Department of Transportation External Civil Rights</w:t>
      </w:r>
    </w:p>
    <w:p>
      <w:pPr>
        <w:pStyle w:val="BodyText"/>
        <w:spacing w:line="204" w:lineRule="auto"/>
        <w:ind w:left="479" w:right="8163"/>
      </w:pPr>
      <w:r>
        <w:rPr/>
        <w:t>1017 Missouri Blvd Jefferson City, MO. 65102 573-526-2978</w:t>
      </w:r>
    </w:p>
    <w:p>
      <w:pPr>
        <w:pStyle w:val="BodyText"/>
        <w:spacing w:line="274" w:lineRule="exact"/>
        <w:ind w:left="479"/>
      </w:pPr>
      <w:hyperlink r:id="rId13">
        <w:r>
          <w:rPr/>
          <w:t>www.modot.org/ecr</w:t>
        </w:r>
      </w:hyperlink>
    </w:p>
    <w:p>
      <w:pPr>
        <w:pStyle w:val="BodyText"/>
        <w:spacing w:line="319" w:lineRule="exact"/>
        <w:ind w:left="479"/>
      </w:pPr>
      <w:r>
        <w:rPr/>
        <w:t>Missouri DBE database and certification</w:t>
      </w:r>
    </w:p>
    <w:p>
      <w:pPr>
        <w:pStyle w:val="BodyText"/>
        <w:spacing w:before="7"/>
        <w:rPr>
          <w:sz w:val="19"/>
        </w:rPr>
      </w:pPr>
    </w:p>
    <w:p>
      <w:pPr>
        <w:pStyle w:val="BodyText"/>
        <w:spacing w:line="204" w:lineRule="auto" w:before="1"/>
        <w:ind w:left="479" w:right="6942"/>
      </w:pPr>
      <w:r>
        <w:rPr/>
        <w:t>Lambert St. Louis International Airport 4610 N. Lindbergh, Suite 240</w:t>
      </w:r>
    </w:p>
    <w:p>
      <w:pPr>
        <w:pStyle w:val="BodyText"/>
        <w:spacing w:line="275" w:lineRule="exact"/>
        <w:ind w:left="479"/>
      </w:pPr>
      <w:r>
        <w:rPr/>
        <w:t>Bridgeton, MO 63044</w:t>
      </w:r>
    </w:p>
    <w:p>
      <w:pPr>
        <w:pStyle w:val="BodyText"/>
        <w:spacing w:line="293" w:lineRule="exact"/>
        <w:ind w:left="479"/>
      </w:pPr>
      <w:r>
        <w:rPr/>
        <w:t>314-551-5000</w:t>
      </w:r>
    </w:p>
    <w:p>
      <w:pPr>
        <w:pStyle w:val="BodyText"/>
        <w:spacing w:line="319" w:lineRule="exact"/>
        <w:ind w:left="479"/>
      </w:pPr>
      <w:hyperlink r:id="rId14">
        <w:r>
          <w:rPr/>
          <w:t>www.mwdbe.org</w:t>
        </w:r>
      </w:hyperlink>
    </w:p>
    <w:p>
      <w:pPr>
        <w:spacing w:after="0" w:line="319" w:lineRule="exact"/>
        <w:sectPr>
          <w:pgSz w:w="12240" w:h="15840"/>
          <w:pgMar w:header="0" w:footer="894" w:top="1280" w:bottom="1120" w:left="600" w:right="500"/>
        </w:sectPr>
      </w:pPr>
    </w:p>
    <w:p>
      <w:pPr>
        <w:pStyle w:val="BodyText"/>
        <w:spacing w:line="332" w:lineRule="exact"/>
        <w:ind w:left="480"/>
      </w:pPr>
      <w:r>
        <w:rPr/>
        <w:t>St. Louis M/WBE and DBE database and certification</w:t>
      </w:r>
    </w:p>
    <w:p>
      <w:pPr>
        <w:pStyle w:val="BodyText"/>
        <w:spacing w:before="8"/>
        <w:rPr>
          <w:sz w:val="19"/>
        </w:rPr>
      </w:pPr>
    </w:p>
    <w:p>
      <w:pPr>
        <w:pStyle w:val="BodyText"/>
        <w:spacing w:line="204" w:lineRule="auto"/>
        <w:ind w:left="480" w:right="8009"/>
      </w:pPr>
      <w:r>
        <w:rPr/>
        <w:t>City of Kansas City Missouri MBE/WBE Division</w:t>
      </w:r>
    </w:p>
    <w:p>
      <w:pPr>
        <w:pStyle w:val="BodyText"/>
        <w:spacing w:line="275" w:lineRule="exact"/>
        <w:ind w:left="480"/>
      </w:pPr>
      <w:r>
        <w:rPr/>
        <w:t>414 E. 12th</w:t>
      </w:r>
      <w:r>
        <w:rPr>
          <w:spacing w:val="-2"/>
        </w:rPr>
        <w:t> </w:t>
      </w:r>
      <w:r>
        <w:rPr/>
        <w:t>St</w:t>
      </w:r>
    </w:p>
    <w:p>
      <w:pPr>
        <w:pStyle w:val="BodyText"/>
        <w:spacing w:line="204" w:lineRule="auto" w:before="15"/>
        <w:ind w:left="480" w:right="8385"/>
      </w:pPr>
      <w:r>
        <w:rPr/>
        <w:t>Kansas City, MO. </w:t>
      </w:r>
      <w:r>
        <w:rPr>
          <w:spacing w:val="-3"/>
        </w:rPr>
        <w:t>64106 </w:t>
      </w:r>
      <w:r>
        <w:rPr/>
        <w:t>816-513-1313</w:t>
      </w:r>
    </w:p>
    <w:p>
      <w:pPr>
        <w:pStyle w:val="BodyText"/>
        <w:spacing w:line="204" w:lineRule="auto"/>
        <w:ind w:left="479" w:right="5969"/>
      </w:pPr>
      <w:r>
        <w:rPr/>
        <w:t>Kansas City M/W/DBE database and certification </w:t>
      </w:r>
      <w:hyperlink r:id="rId15">
        <w:r>
          <w:rPr/>
          <w:t>www.kcmo.gov/humanrelations/resources</w:t>
        </w:r>
      </w:hyperlink>
    </w:p>
    <w:p>
      <w:pPr>
        <w:pStyle w:val="BodyText"/>
        <w:spacing w:before="2"/>
        <w:rPr>
          <w:sz w:val="20"/>
        </w:rPr>
      </w:pPr>
    </w:p>
    <w:p>
      <w:pPr>
        <w:pStyle w:val="BodyText"/>
        <w:spacing w:line="204" w:lineRule="auto"/>
        <w:ind w:left="479" w:right="7269"/>
      </w:pPr>
      <w:r>
        <w:rPr/>
        <w:t>St. Louis Development Corporation 1520 Market St. Suite 2000</w:t>
      </w:r>
    </w:p>
    <w:p>
      <w:pPr>
        <w:pStyle w:val="BodyText"/>
        <w:spacing w:line="204" w:lineRule="auto"/>
        <w:ind w:left="479" w:right="8668"/>
      </w:pPr>
      <w:r>
        <w:rPr/>
        <w:t>St. Louis, MO. 63103 314-657-3700</w:t>
      </w:r>
    </w:p>
    <w:p>
      <w:pPr>
        <w:pStyle w:val="BodyText"/>
        <w:spacing w:line="275" w:lineRule="exact"/>
        <w:ind w:left="479"/>
      </w:pPr>
      <w:hyperlink r:id="rId16">
        <w:r>
          <w:rPr/>
          <w:t>www.stlouis-0mo.gov/sldc</w:t>
        </w:r>
      </w:hyperlink>
    </w:p>
    <w:p>
      <w:pPr>
        <w:pStyle w:val="BodyText"/>
        <w:spacing w:line="320" w:lineRule="exact"/>
        <w:ind w:left="479"/>
      </w:pPr>
      <w:r>
        <w:rPr/>
        <w:t>Certification help for M/WBE suppliers in St. Louis area.</w:t>
      </w:r>
    </w:p>
    <w:p>
      <w:pPr>
        <w:pStyle w:val="BodyText"/>
        <w:spacing w:before="6"/>
        <w:rPr>
          <w:sz w:val="19"/>
        </w:rPr>
      </w:pPr>
    </w:p>
    <w:p>
      <w:pPr>
        <w:pStyle w:val="BodyText"/>
        <w:spacing w:line="204" w:lineRule="auto"/>
        <w:ind w:left="479" w:right="5749"/>
      </w:pPr>
      <w:r>
        <w:rPr/>
        <w:t>Mid-States Minority Supplier Development Council 317 N. 11th St. Suite 502</w:t>
      </w:r>
    </w:p>
    <w:p>
      <w:pPr>
        <w:pStyle w:val="BodyText"/>
        <w:spacing w:line="204" w:lineRule="auto"/>
        <w:ind w:left="479" w:right="8668"/>
      </w:pPr>
      <w:r>
        <w:rPr/>
        <w:t>St. Louis, MO. 63101 314-436-8877</w:t>
      </w:r>
    </w:p>
    <w:p>
      <w:pPr>
        <w:pStyle w:val="BodyText"/>
        <w:spacing w:line="276" w:lineRule="exact"/>
        <w:ind w:left="479"/>
      </w:pPr>
      <w:hyperlink r:id="rId17">
        <w:r>
          <w:rPr/>
          <w:t>www.midstatesmsdc.org</w:t>
        </w:r>
      </w:hyperlink>
    </w:p>
    <w:p>
      <w:pPr>
        <w:pStyle w:val="BodyText"/>
        <w:spacing w:line="321" w:lineRule="exact"/>
        <w:ind w:left="479"/>
      </w:pPr>
      <w:r>
        <w:rPr/>
        <w:t>MBE certification for St. Louis based corporations/database available for a fee</w:t>
      </w:r>
    </w:p>
    <w:p>
      <w:pPr>
        <w:pStyle w:val="BodyText"/>
        <w:spacing w:before="5"/>
        <w:rPr>
          <w:sz w:val="19"/>
        </w:rPr>
      </w:pPr>
    </w:p>
    <w:p>
      <w:pPr>
        <w:pStyle w:val="BodyText"/>
        <w:spacing w:line="204" w:lineRule="auto"/>
        <w:ind w:left="479" w:right="6592"/>
      </w:pPr>
      <w:r>
        <w:rPr/>
        <w:t>Mountain Plains Minority Supplier Council 777 Admiral Blvd.</w:t>
      </w:r>
    </w:p>
    <w:p>
      <w:pPr>
        <w:pStyle w:val="BodyText"/>
        <w:spacing w:line="204" w:lineRule="auto"/>
        <w:ind w:left="479" w:right="8385"/>
      </w:pPr>
      <w:r>
        <w:rPr/>
        <w:t>Kansas City, MO. 64106 816-221-4200</w:t>
      </w:r>
    </w:p>
    <w:p>
      <w:pPr>
        <w:pStyle w:val="BodyText"/>
        <w:spacing w:line="275" w:lineRule="exact"/>
        <w:ind w:left="479"/>
      </w:pPr>
      <w:hyperlink r:id="rId18">
        <w:r>
          <w:rPr/>
          <w:t>www.mpmsdc.org</w:t>
        </w:r>
      </w:hyperlink>
    </w:p>
    <w:p>
      <w:pPr>
        <w:pStyle w:val="BodyText"/>
        <w:spacing w:line="319" w:lineRule="exact"/>
        <w:ind w:left="479"/>
      </w:pPr>
      <w:r>
        <w:rPr/>
        <w:t>MBE certification for Kansas City based corporations/database available for a fee</w:t>
      </w:r>
    </w:p>
    <w:p>
      <w:pPr>
        <w:pStyle w:val="BodyText"/>
        <w:spacing w:before="6"/>
        <w:rPr>
          <w:sz w:val="19"/>
        </w:rPr>
      </w:pPr>
    </w:p>
    <w:p>
      <w:pPr>
        <w:pStyle w:val="BodyText"/>
        <w:spacing w:line="204" w:lineRule="auto"/>
        <w:ind w:left="479" w:right="6173"/>
      </w:pPr>
      <w:r>
        <w:rPr/>
        <w:t>U.S. Small Business Administration-Kansas City 1000 Walnut Suite 500</w:t>
      </w:r>
    </w:p>
    <w:p>
      <w:pPr>
        <w:pStyle w:val="BodyText"/>
        <w:spacing w:line="204" w:lineRule="auto"/>
        <w:ind w:left="479" w:right="8385"/>
      </w:pPr>
      <w:r>
        <w:rPr/>
        <w:t>Kansas City, MO. 66106 816-426-4900</w:t>
      </w:r>
    </w:p>
    <w:p>
      <w:pPr>
        <w:pStyle w:val="BodyText"/>
        <w:spacing w:line="204" w:lineRule="auto"/>
        <w:ind w:left="479" w:right="5174"/>
      </w:pPr>
      <w:hyperlink r:id="rId19">
        <w:r>
          <w:rPr/>
          <w:t>http://www.sba.gov/about-offices-content/2/3123</w:t>
        </w:r>
      </w:hyperlink>
      <w:r>
        <w:rPr/>
        <w:t> Kansas City SBA Office. Info for Federal Gov. Certification</w:t>
      </w:r>
    </w:p>
    <w:p>
      <w:pPr>
        <w:pStyle w:val="BodyText"/>
        <w:spacing w:before="14"/>
        <w:rPr>
          <w:sz w:val="19"/>
        </w:rPr>
      </w:pPr>
    </w:p>
    <w:p>
      <w:pPr>
        <w:pStyle w:val="BodyText"/>
        <w:spacing w:line="204" w:lineRule="auto"/>
        <w:ind w:left="479" w:right="6454"/>
      </w:pPr>
      <w:r>
        <w:rPr/>
        <w:t>U.S. Small Business Administration-St. Louis 1222 Spruce St. Suite 10.103</w:t>
      </w:r>
    </w:p>
    <w:p>
      <w:pPr>
        <w:pStyle w:val="BodyText"/>
        <w:spacing w:line="204" w:lineRule="auto"/>
        <w:ind w:left="479" w:right="8668"/>
      </w:pPr>
      <w:r>
        <w:rPr/>
        <w:t>St. Louis, MO. 63103 314-539-6600</w:t>
      </w:r>
    </w:p>
    <w:p>
      <w:pPr>
        <w:pStyle w:val="BodyText"/>
        <w:spacing w:line="275" w:lineRule="exact"/>
        <w:ind w:left="479"/>
      </w:pPr>
      <w:hyperlink r:id="rId20">
        <w:r>
          <w:rPr/>
          <w:t>http://www.sba.gov/about-offices-content/2/3124</w:t>
        </w:r>
      </w:hyperlink>
    </w:p>
    <w:p>
      <w:pPr>
        <w:pStyle w:val="BodyText"/>
        <w:spacing w:line="319" w:lineRule="exact"/>
        <w:ind w:left="479"/>
      </w:pPr>
      <w:r>
        <w:rPr/>
        <w:t>St. Louis SBA Office. Info for Federal Gov. Certification.</w:t>
      </w:r>
    </w:p>
    <w:p>
      <w:pPr>
        <w:pStyle w:val="BodyText"/>
        <w:spacing w:before="7"/>
        <w:rPr>
          <w:sz w:val="16"/>
        </w:rPr>
      </w:pPr>
    </w:p>
    <w:p>
      <w:pPr>
        <w:pStyle w:val="BodyText"/>
        <w:spacing w:line="319" w:lineRule="exact"/>
        <w:ind w:left="479"/>
      </w:pPr>
      <w:r>
        <w:rPr/>
        <w:t>U.S. Veterans Business Administration</w:t>
      </w:r>
    </w:p>
    <w:p>
      <w:pPr>
        <w:pStyle w:val="BodyText"/>
        <w:spacing w:line="319" w:lineRule="exact"/>
        <w:ind w:left="479"/>
      </w:pPr>
      <w:r>
        <w:rPr/>
        <w:t>Veteran and Service Disabled Veteran Database and verification</w:t>
      </w:r>
    </w:p>
    <w:p>
      <w:pPr>
        <w:spacing w:after="0" w:line="319" w:lineRule="exact"/>
        <w:sectPr>
          <w:pgSz w:w="12240" w:h="15840"/>
          <w:pgMar w:header="0" w:footer="894" w:top="680" w:bottom="1120" w:left="600" w:right="500"/>
        </w:sectPr>
      </w:pPr>
    </w:p>
    <w:p>
      <w:pPr>
        <w:pStyle w:val="BodyText"/>
        <w:spacing w:line="306" w:lineRule="exact"/>
        <w:ind w:left="480"/>
      </w:pPr>
      <w:hyperlink r:id="rId21">
        <w:r>
          <w:rPr/>
          <w:t>www.vetbiz.gov</w:t>
        </w:r>
      </w:hyperlink>
    </w:p>
    <w:p>
      <w:pPr>
        <w:pStyle w:val="BodyText"/>
        <w:spacing w:line="319" w:lineRule="exact"/>
        <w:ind w:left="480"/>
      </w:pPr>
      <w:r>
        <w:rPr/>
        <w:t>U.S. database of Veteran and Service Disabled Veteran Businesses</w:t>
      </w:r>
    </w:p>
    <w:p>
      <w:pPr>
        <w:pStyle w:val="BodyText"/>
        <w:spacing w:before="8"/>
        <w:rPr>
          <w:sz w:val="19"/>
        </w:rPr>
      </w:pPr>
    </w:p>
    <w:p>
      <w:pPr>
        <w:pStyle w:val="BodyText"/>
        <w:spacing w:line="204" w:lineRule="auto"/>
        <w:ind w:left="480" w:right="7315"/>
      </w:pPr>
      <w:r>
        <w:rPr/>
        <w:t>St. Louis Minority Business Council 308 N. 21st St, 7th floor</w:t>
      </w:r>
    </w:p>
    <w:p>
      <w:pPr>
        <w:pStyle w:val="BodyText"/>
        <w:spacing w:line="204" w:lineRule="auto"/>
        <w:ind w:left="480" w:right="8668"/>
      </w:pPr>
      <w:r>
        <w:rPr/>
        <w:t>St. Louis, MO. 63101 314-241-1143</w:t>
      </w:r>
    </w:p>
    <w:p>
      <w:pPr>
        <w:pStyle w:val="BodyText"/>
        <w:spacing w:line="276" w:lineRule="exact"/>
        <w:ind w:left="479"/>
      </w:pPr>
      <w:hyperlink r:id="rId22">
        <w:r>
          <w:rPr/>
          <w:t>www.slmbc.org</w:t>
        </w:r>
      </w:hyperlink>
    </w:p>
    <w:p>
      <w:pPr>
        <w:pStyle w:val="BodyText"/>
        <w:spacing w:line="321" w:lineRule="exact"/>
        <w:ind w:left="479"/>
      </w:pPr>
      <w:r>
        <w:rPr/>
        <w:t>St. Louis MBE certifying agency/database access for a fee</w:t>
      </w:r>
    </w:p>
    <w:p>
      <w:pPr>
        <w:pStyle w:val="BodyText"/>
        <w:spacing w:before="5"/>
        <w:rPr>
          <w:sz w:val="19"/>
        </w:rPr>
      </w:pPr>
    </w:p>
    <w:p>
      <w:pPr>
        <w:pStyle w:val="BodyText"/>
        <w:spacing w:line="204" w:lineRule="auto" w:before="1"/>
        <w:ind w:left="479" w:right="5005"/>
      </w:pPr>
      <w:r>
        <w:rPr/>
        <w:t>Women’s Business Development Center (WBENC)-Chicago 8 S. Michigan Ave Suite 400</w:t>
      </w:r>
    </w:p>
    <w:p>
      <w:pPr>
        <w:pStyle w:val="BodyText"/>
        <w:spacing w:line="275" w:lineRule="exact"/>
        <w:ind w:left="479"/>
      </w:pPr>
      <w:r>
        <w:rPr/>
        <w:t>Chicago, Illinois 60603</w:t>
      </w:r>
    </w:p>
    <w:p>
      <w:pPr>
        <w:pStyle w:val="BodyText"/>
        <w:spacing w:line="293" w:lineRule="exact"/>
        <w:ind w:left="479"/>
      </w:pPr>
      <w:r>
        <w:rPr/>
        <w:t>312-853-3477</w:t>
      </w:r>
    </w:p>
    <w:p>
      <w:pPr>
        <w:pStyle w:val="BodyText"/>
        <w:spacing w:line="293" w:lineRule="exact"/>
        <w:ind w:left="479"/>
      </w:pPr>
      <w:hyperlink r:id="rId23">
        <w:r>
          <w:rPr/>
          <w:t>www.wbdc.org</w:t>
        </w:r>
      </w:hyperlink>
    </w:p>
    <w:p>
      <w:pPr>
        <w:pStyle w:val="BodyText"/>
        <w:spacing w:line="320" w:lineRule="exact"/>
        <w:ind w:left="479"/>
      </w:pPr>
      <w:r>
        <w:rPr/>
        <w:t>Certification for WBE’s in the Missouri area</w:t>
      </w:r>
    </w:p>
    <w:p>
      <w:pPr>
        <w:spacing w:after="0" w:line="320" w:lineRule="exact"/>
        <w:sectPr>
          <w:pgSz w:w="12240" w:h="15840"/>
          <w:pgMar w:header="0" w:footer="894" w:top="680" w:bottom="1120" w:left="600" w:right="500"/>
        </w:sectPr>
      </w:pPr>
    </w:p>
    <w:p>
      <w:pPr>
        <w:pStyle w:val="BodyText"/>
        <w:spacing w:line="332" w:lineRule="exact"/>
        <w:ind w:left="3108"/>
      </w:pPr>
      <w:r>
        <w:rPr/>
        <w:t>SUPPLIER REGISTRATION INFORMATION</w:t>
      </w:r>
    </w:p>
    <w:p>
      <w:pPr>
        <w:pStyle w:val="BodyText"/>
        <w:spacing w:before="13"/>
      </w:pPr>
    </w:p>
    <w:p>
      <w:pPr>
        <w:pStyle w:val="BodyText"/>
        <w:tabs>
          <w:tab w:pos="3906" w:val="left" w:leader="none"/>
          <w:tab w:pos="4992" w:val="left" w:leader="none"/>
        </w:tabs>
        <w:spacing w:line="489" w:lineRule="auto"/>
        <w:ind w:left="480" w:right="1351"/>
      </w:pPr>
      <w:r>
        <w:rPr/>
        <w:t>Completion of this section is strongly encouraged. Please review and check ALL applicable</w:t>
      </w:r>
      <w:r>
        <w:rPr>
          <w:spacing w:val="-30"/>
        </w:rPr>
        <w:t> </w:t>
      </w:r>
      <w:r>
        <w:rPr/>
        <w:t>boxes. SMALL</w:t>
      </w:r>
      <w:r>
        <w:rPr>
          <w:spacing w:val="-2"/>
        </w:rPr>
        <w:t> </w:t>
      </w:r>
      <w:r>
        <w:rPr/>
        <w:t>BUSINESS</w:t>
      </w:r>
      <w:r>
        <w:rPr>
          <w:spacing w:val="-4"/>
        </w:rPr>
        <w:t> </w:t>
      </w:r>
      <w:r>
        <w:rPr/>
        <w:t>CONCERN:</w:t>
      </w:r>
      <w:r>
        <w:rPr>
          <w:u w:val="single"/>
        </w:rPr>
        <w:t> </w:t>
        <w:tab/>
      </w:r>
      <w:r>
        <w:rPr/>
        <w:t>Yes</w:t>
      </w:r>
      <w:r>
        <w:rPr>
          <w:u w:val="single"/>
        </w:rPr>
        <w:t> </w:t>
        <w:tab/>
      </w:r>
      <w:r>
        <w:rPr/>
        <w:t>No</w:t>
      </w:r>
    </w:p>
    <w:p>
      <w:pPr>
        <w:pStyle w:val="BodyText"/>
      </w:pPr>
    </w:p>
    <w:p>
      <w:pPr>
        <w:pStyle w:val="BodyText"/>
        <w:spacing w:before="1"/>
        <w:rPr>
          <w:sz w:val="28"/>
        </w:rPr>
      </w:pPr>
    </w:p>
    <w:p>
      <w:pPr>
        <w:pStyle w:val="BodyText"/>
        <w:spacing w:line="204" w:lineRule="auto"/>
        <w:ind w:left="480" w:right="339"/>
      </w:pPr>
      <w:r>
        <w:rPr/>
        <w:t>The term “small business concern” shall mean a business as defined pursuant to Section 3 of the Small Business Act and relevant regulations issued pursuant thereto. Generally, this means a small business concern organized for profit, which is independently owned and operated, is not dominant in the field of operations in which it is bidding. We would consider any firm with 500 employees or less a “small business concern”.</w:t>
      </w:r>
    </w:p>
    <w:p>
      <w:pPr>
        <w:pStyle w:val="BodyText"/>
      </w:pPr>
    </w:p>
    <w:p>
      <w:pPr>
        <w:pStyle w:val="BodyText"/>
        <w:spacing w:before="14"/>
        <w:rPr>
          <w:sz w:val="29"/>
        </w:rPr>
      </w:pPr>
    </w:p>
    <w:p>
      <w:pPr>
        <w:pStyle w:val="BodyText"/>
        <w:tabs>
          <w:tab w:pos="4712" w:val="left" w:leader="none"/>
          <w:tab w:pos="5686" w:val="left" w:leader="none"/>
        </w:tabs>
        <w:ind w:left="480"/>
      </w:pPr>
      <w:r>
        <w:rPr/>
        <w:t>WOMAN OWNED</w:t>
      </w:r>
      <w:r>
        <w:rPr>
          <w:spacing w:val="-1"/>
        </w:rPr>
        <w:t> </w:t>
      </w:r>
      <w:r>
        <w:rPr/>
        <w:t>BUSINESS</w:t>
      </w:r>
      <w:r>
        <w:rPr>
          <w:spacing w:val="-3"/>
        </w:rPr>
        <w:t> </w:t>
      </w:r>
      <w:r>
        <w:rPr/>
        <w:t>(WBE):</w:t>
      </w:r>
      <w:r>
        <w:rPr>
          <w:u w:val="single"/>
        </w:rPr>
        <w:t> </w:t>
        <w:tab/>
      </w:r>
      <w:r>
        <w:rPr/>
        <w:t>Yes</w:t>
      </w:r>
      <w:r>
        <w:rPr>
          <w:u w:val="single"/>
        </w:rPr>
        <w:t> </w:t>
        <w:tab/>
      </w:r>
      <w:r>
        <w:rPr/>
        <w:t>No</w:t>
      </w:r>
    </w:p>
    <w:p>
      <w:pPr>
        <w:pStyle w:val="BodyText"/>
      </w:pPr>
    </w:p>
    <w:p>
      <w:pPr>
        <w:pStyle w:val="BodyText"/>
      </w:pPr>
    </w:p>
    <w:p>
      <w:pPr>
        <w:pStyle w:val="BodyText"/>
        <w:spacing w:before="12"/>
        <w:rPr>
          <w:sz w:val="28"/>
        </w:rPr>
      </w:pPr>
    </w:p>
    <w:p>
      <w:pPr>
        <w:pStyle w:val="BodyText"/>
        <w:spacing w:line="204" w:lineRule="auto"/>
        <w:ind w:left="480" w:right="234"/>
      </w:pPr>
      <w:r>
        <w:rPr/>
        <w:t>A woman owned business is defined as an organization that is 51% owned, controlled and/or managed, by a woman. The determination of WBE status depends solely on ownership and operation and is not related to employment. The firm should be certified by a recognized agency (e.g., state, local, federal, etc.). Please see Public Law 106-554 for more detail.</w:t>
      </w:r>
    </w:p>
    <w:p>
      <w:pPr>
        <w:pStyle w:val="BodyText"/>
      </w:pPr>
    </w:p>
    <w:p>
      <w:pPr>
        <w:pStyle w:val="BodyText"/>
        <w:spacing w:before="3"/>
        <w:rPr>
          <w:sz w:val="30"/>
        </w:rPr>
      </w:pPr>
    </w:p>
    <w:p>
      <w:pPr>
        <w:pStyle w:val="BodyText"/>
        <w:tabs>
          <w:tab w:pos="5090" w:val="left" w:leader="none"/>
          <w:tab w:pos="6066" w:val="left" w:leader="none"/>
        </w:tabs>
        <w:ind w:left="480"/>
      </w:pPr>
      <w:r>
        <w:rPr/>
        <w:t>MINORITY BUSINESS</w:t>
      </w:r>
      <w:r>
        <w:rPr>
          <w:spacing w:val="-6"/>
        </w:rPr>
        <w:t> </w:t>
      </w:r>
      <w:r>
        <w:rPr/>
        <w:t>ENTERPRISE</w:t>
      </w:r>
      <w:r>
        <w:rPr>
          <w:spacing w:val="-2"/>
        </w:rPr>
        <w:t> </w:t>
      </w:r>
      <w:r>
        <w:rPr/>
        <w:t>(MBE):</w:t>
      </w:r>
      <w:r>
        <w:rPr>
          <w:u w:val="single"/>
        </w:rPr>
        <w:t> </w:t>
        <w:tab/>
      </w:r>
      <w:r>
        <w:rPr/>
        <w:t>Yes</w:t>
      </w:r>
      <w:r>
        <w:rPr>
          <w:u w:val="single"/>
        </w:rPr>
        <w:t> </w:t>
        <w:tab/>
      </w:r>
      <w:r>
        <w:rPr/>
        <w:t>No</w:t>
      </w:r>
    </w:p>
    <w:p>
      <w:pPr>
        <w:pStyle w:val="BodyText"/>
      </w:pPr>
    </w:p>
    <w:p>
      <w:pPr>
        <w:pStyle w:val="BodyText"/>
      </w:pPr>
    </w:p>
    <w:p>
      <w:pPr>
        <w:pStyle w:val="BodyText"/>
        <w:spacing w:before="12"/>
        <w:rPr>
          <w:sz w:val="28"/>
        </w:rPr>
      </w:pPr>
    </w:p>
    <w:p>
      <w:pPr>
        <w:pStyle w:val="BodyText"/>
        <w:spacing w:line="204" w:lineRule="auto"/>
        <w:ind w:left="480" w:right="233"/>
      </w:pPr>
      <w:r>
        <w:rPr/>
        <w:t>A minority business is defined as an organization that is 51% owned, controlled and/or managed by minority group members. The determination of minority status depends solely on ownership and operation and is not related to employment. The firm should be certified by a recognized agency (e.g., state, local, federal, etc.). Please see Public Law 95-507 for more detail. Place an X by the appropriate space below.</w:t>
      </w:r>
    </w:p>
    <w:p>
      <w:pPr>
        <w:pStyle w:val="BodyText"/>
      </w:pPr>
    </w:p>
    <w:p>
      <w:pPr>
        <w:pStyle w:val="BodyText"/>
        <w:rPr>
          <w:sz w:val="30"/>
        </w:rPr>
      </w:pPr>
    </w:p>
    <w:p>
      <w:pPr>
        <w:pStyle w:val="ListParagraph"/>
        <w:numPr>
          <w:ilvl w:val="0"/>
          <w:numId w:val="11"/>
        </w:numPr>
        <w:tabs>
          <w:tab w:pos="771" w:val="left" w:leader="none"/>
          <w:tab w:pos="9731" w:val="left" w:leader="none"/>
        </w:tabs>
        <w:spacing w:line="240" w:lineRule="auto" w:before="1" w:after="0"/>
        <w:ind w:left="770" w:right="0" w:hanging="290"/>
        <w:jc w:val="left"/>
        <w:rPr>
          <w:sz w:val="24"/>
        </w:rPr>
      </w:pPr>
      <w:r>
        <w:rPr>
          <w:sz w:val="24"/>
        </w:rPr>
        <w:t>Asian-Indian - A U.S. citizen whose origins are from India, Pakistan</w:t>
      </w:r>
      <w:r>
        <w:rPr>
          <w:spacing w:val="-23"/>
          <w:sz w:val="24"/>
        </w:rPr>
        <w:t> </w:t>
      </w:r>
      <w:r>
        <w:rPr>
          <w:sz w:val="24"/>
        </w:rPr>
        <w:t>and</w:t>
      </w:r>
      <w:r>
        <w:rPr>
          <w:spacing w:val="-1"/>
          <w:sz w:val="24"/>
        </w:rPr>
        <w:t> </w:t>
      </w:r>
      <w:r>
        <w:rPr>
          <w:sz w:val="24"/>
        </w:rPr>
        <w:t>Bangladesh</w:t>
      </w:r>
      <w:r>
        <w:rPr>
          <w:sz w:val="24"/>
          <w:u w:val="single"/>
        </w:rPr>
        <w:t> </w:t>
        <w:tab/>
      </w:r>
      <w:r>
        <w:rPr>
          <w:sz w:val="24"/>
        </w:rPr>
        <w:t>(A)</w:t>
      </w:r>
    </w:p>
    <w:p>
      <w:pPr>
        <w:spacing w:after="0" w:line="240" w:lineRule="auto"/>
        <w:jc w:val="left"/>
        <w:rPr>
          <w:sz w:val="24"/>
        </w:rPr>
        <w:sectPr>
          <w:pgSz w:w="12240" w:h="15840"/>
          <w:pgMar w:header="0" w:footer="894" w:top="680" w:bottom="1120" w:left="600" w:right="500"/>
        </w:sectPr>
      </w:pPr>
    </w:p>
    <w:p>
      <w:pPr>
        <w:pStyle w:val="ListParagraph"/>
        <w:numPr>
          <w:ilvl w:val="0"/>
          <w:numId w:val="11"/>
        </w:numPr>
        <w:tabs>
          <w:tab w:pos="771" w:val="left" w:leader="none"/>
        </w:tabs>
        <w:spacing w:line="204" w:lineRule="auto" w:before="28" w:after="0"/>
        <w:ind w:left="480" w:right="257" w:firstLine="0"/>
        <w:jc w:val="left"/>
        <w:rPr>
          <w:sz w:val="24"/>
        </w:rPr>
      </w:pPr>
      <w:r>
        <w:rPr>
          <w:sz w:val="24"/>
        </w:rPr>
        <w:t>Asian-Pacific - A U.S. citizen whose origins are from Japan, China, Indonesia, Malaysia, Taiwan, Korea, Vietnam, Laos, Cambodia, the Philippines, Thailand, Samoa, Guam, the U.S. Trust Territories of the Pacific</w:t>
      </w:r>
      <w:r>
        <w:rPr>
          <w:spacing w:val="-26"/>
          <w:sz w:val="24"/>
        </w:rPr>
        <w:t> </w:t>
      </w:r>
      <w:r>
        <w:rPr>
          <w:sz w:val="24"/>
        </w:rPr>
        <w:t>or</w:t>
      </w:r>
    </w:p>
    <w:p>
      <w:pPr>
        <w:pStyle w:val="BodyText"/>
        <w:tabs>
          <w:tab w:pos="7139" w:val="left" w:leader="none"/>
          <w:tab w:pos="8023" w:val="left" w:leader="none"/>
        </w:tabs>
        <w:spacing w:line="302" w:lineRule="exact"/>
        <w:ind w:left="480"/>
      </w:pPr>
      <w:r>
        <w:rPr/>
        <w:t>the</w:t>
      </w:r>
      <w:r>
        <w:rPr>
          <w:spacing w:val="-2"/>
        </w:rPr>
        <w:t> </w:t>
      </w:r>
      <w:r>
        <w:rPr/>
        <w:t>Northern</w:t>
      </w:r>
      <w:r>
        <w:rPr>
          <w:spacing w:val="-1"/>
        </w:rPr>
        <w:t> </w:t>
      </w:r>
      <w:r>
        <w:rPr/>
        <w:t>Marianas.</w:t>
        <w:tab/>
      </w:r>
      <w:r>
        <w:rPr>
          <w:u w:val="single"/>
        </w:rPr>
        <w:t> </w:t>
        <w:tab/>
      </w:r>
      <w:r>
        <w:rPr/>
        <w:t>(P)</w:t>
      </w:r>
    </w:p>
    <w:p>
      <w:pPr>
        <w:pStyle w:val="BodyText"/>
        <w:rPr>
          <w:sz w:val="20"/>
        </w:rPr>
      </w:pPr>
    </w:p>
    <w:p>
      <w:pPr>
        <w:pStyle w:val="BodyText"/>
        <w:rPr>
          <w:sz w:val="20"/>
        </w:rPr>
      </w:pPr>
    </w:p>
    <w:p>
      <w:pPr>
        <w:pStyle w:val="BodyText"/>
        <w:spacing w:before="10"/>
        <w:rPr>
          <w:sz w:val="13"/>
        </w:rPr>
      </w:pPr>
    </w:p>
    <w:p>
      <w:pPr>
        <w:pStyle w:val="ListParagraph"/>
        <w:numPr>
          <w:ilvl w:val="0"/>
          <w:numId w:val="11"/>
        </w:numPr>
        <w:tabs>
          <w:tab w:pos="823" w:val="left" w:leader="none"/>
          <w:tab w:pos="8434" w:val="left" w:leader="none"/>
          <w:tab w:pos="9320" w:val="left" w:leader="none"/>
        </w:tabs>
        <w:spacing w:line="345" w:lineRule="exact" w:before="0" w:after="0"/>
        <w:ind w:left="822" w:right="0" w:hanging="342"/>
        <w:jc w:val="left"/>
        <w:rPr>
          <w:sz w:val="24"/>
        </w:rPr>
      </w:pPr>
      <w:r>
        <w:rPr>
          <w:sz w:val="24"/>
        </w:rPr>
        <w:t>Black - A U.S. citizen having origins in any of the Black racial groups</w:t>
      </w:r>
      <w:r>
        <w:rPr>
          <w:spacing w:val="-19"/>
          <w:sz w:val="24"/>
        </w:rPr>
        <w:t> </w:t>
      </w:r>
      <w:r>
        <w:rPr>
          <w:sz w:val="24"/>
        </w:rPr>
        <w:t>of</w:t>
      </w:r>
      <w:r>
        <w:rPr>
          <w:spacing w:val="-3"/>
          <w:sz w:val="24"/>
        </w:rPr>
        <w:t> </w:t>
      </w:r>
      <w:r>
        <w:rPr>
          <w:sz w:val="24"/>
        </w:rPr>
        <w:t>Africa.</w:t>
        <w:tab/>
      </w:r>
      <w:r>
        <w:rPr>
          <w:sz w:val="24"/>
          <w:u w:val="single"/>
        </w:rPr>
        <w:t> </w:t>
        <w:tab/>
      </w:r>
      <w:r>
        <w:rPr>
          <w:sz w:val="24"/>
        </w:rPr>
        <w:t>(B)</w:t>
      </w:r>
    </w:p>
    <w:p>
      <w:pPr>
        <w:pStyle w:val="BodyText"/>
        <w:spacing w:before="12"/>
        <w:rPr>
          <w:sz w:val="27"/>
        </w:rPr>
      </w:pPr>
    </w:p>
    <w:p>
      <w:pPr>
        <w:pStyle w:val="ListParagraph"/>
        <w:numPr>
          <w:ilvl w:val="0"/>
          <w:numId w:val="11"/>
        </w:numPr>
        <w:tabs>
          <w:tab w:pos="916" w:val="left" w:leader="none"/>
          <w:tab w:pos="917" w:val="left" w:leader="none"/>
          <w:tab w:pos="8085" w:val="left" w:leader="none"/>
          <w:tab w:pos="8971" w:val="left" w:leader="none"/>
        </w:tabs>
        <w:spacing w:line="204" w:lineRule="auto" w:before="0" w:after="0"/>
        <w:ind w:left="408" w:right="1121" w:firstLine="55"/>
        <w:jc w:val="left"/>
        <w:rPr>
          <w:sz w:val="24"/>
        </w:rPr>
      </w:pPr>
      <w:r>
        <w:rPr>
          <w:sz w:val="24"/>
        </w:rPr>
        <w:t>Hispanic - A U.S. citizen of true-born Hispanic heritage, from any of the Spanish-speaking areas Mexico, Central America, South America and the Caribbean</w:t>
      </w:r>
      <w:r>
        <w:rPr>
          <w:spacing w:val="-17"/>
          <w:sz w:val="24"/>
        </w:rPr>
        <w:t> </w:t>
      </w:r>
      <w:r>
        <w:rPr>
          <w:sz w:val="24"/>
        </w:rPr>
        <w:t>Basin</w:t>
      </w:r>
      <w:r>
        <w:rPr>
          <w:spacing w:val="-1"/>
          <w:sz w:val="24"/>
        </w:rPr>
        <w:t> </w:t>
      </w:r>
      <w:r>
        <w:rPr>
          <w:sz w:val="24"/>
        </w:rPr>
        <w:t>only.</w:t>
        <w:tab/>
      </w:r>
      <w:r>
        <w:rPr>
          <w:sz w:val="24"/>
          <w:u w:val="single"/>
        </w:rPr>
        <w:t> </w:t>
        <w:tab/>
      </w:r>
      <w:r>
        <w:rPr>
          <w:sz w:val="24"/>
        </w:rPr>
        <w:t>(H)</w:t>
      </w:r>
    </w:p>
    <w:p>
      <w:pPr>
        <w:pStyle w:val="BodyText"/>
      </w:pPr>
    </w:p>
    <w:p>
      <w:pPr>
        <w:pStyle w:val="BodyText"/>
        <w:spacing w:before="4"/>
        <w:rPr>
          <w:sz w:val="33"/>
        </w:rPr>
      </w:pPr>
    </w:p>
    <w:p>
      <w:pPr>
        <w:pStyle w:val="ListParagraph"/>
        <w:numPr>
          <w:ilvl w:val="0"/>
          <w:numId w:val="11"/>
        </w:numPr>
        <w:tabs>
          <w:tab w:pos="879" w:val="left" w:leader="none"/>
          <w:tab w:pos="7513" w:val="left" w:leader="none"/>
          <w:tab w:pos="8399" w:val="left" w:leader="none"/>
        </w:tabs>
        <w:spacing w:line="204" w:lineRule="auto" w:before="0" w:after="0"/>
        <w:ind w:left="480" w:right="336" w:firstLine="110"/>
        <w:jc w:val="left"/>
        <w:rPr>
          <w:sz w:val="24"/>
        </w:rPr>
      </w:pPr>
      <w:r>
        <w:rPr>
          <w:sz w:val="24"/>
        </w:rPr>
        <w:t>Native</w:t>
      </w:r>
      <w:r>
        <w:rPr>
          <w:spacing w:val="-4"/>
          <w:sz w:val="24"/>
        </w:rPr>
        <w:t> </w:t>
      </w:r>
      <w:r>
        <w:rPr>
          <w:sz w:val="24"/>
        </w:rPr>
        <w:t>American</w:t>
      </w:r>
      <w:r>
        <w:rPr>
          <w:spacing w:val="-2"/>
          <w:sz w:val="24"/>
        </w:rPr>
        <w:t> </w:t>
      </w:r>
      <w:r>
        <w:rPr>
          <w:sz w:val="24"/>
        </w:rPr>
        <w:t>-</w:t>
      </w:r>
      <w:r>
        <w:rPr>
          <w:spacing w:val="-2"/>
          <w:sz w:val="24"/>
        </w:rPr>
        <w:t> </w:t>
      </w:r>
      <w:r>
        <w:rPr>
          <w:sz w:val="24"/>
        </w:rPr>
        <w:t>A</w:t>
      </w:r>
      <w:r>
        <w:rPr>
          <w:spacing w:val="-5"/>
          <w:sz w:val="24"/>
        </w:rPr>
        <w:t> </w:t>
      </w:r>
      <w:r>
        <w:rPr>
          <w:sz w:val="24"/>
        </w:rPr>
        <w:t>person</w:t>
      </w:r>
      <w:r>
        <w:rPr>
          <w:spacing w:val="-2"/>
          <w:sz w:val="24"/>
        </w:rPr>
        <w:t> </w:t>
      </w:r>
      <w:r>
        <w:rPr>
          <w:sz w:val="24"/>
        </w:rPr>
        <w:t>who</w:t>
      </w:r>
      <w:r>
        <w:rPr>
          <w:spacing w:val="-3"/>
          <w:sz w:val="24"/>
        </w:rPr>
        <w:t> </w:t>
      </w:r>
      <w:r>
        <w:rPr>
          <w:sz w:val="24"/>
        </w:rPr>
        <w:t>is</w:t>
      </w:r>
      <w:r>
        <w:rPr>
          <w:spacing w:val="-1"/>
          <w:sz w:val="24"/>
        </w:rPr>
        <w:t> </w:t>
      </w:r>
      <w:r>
        <w:rPr>
          <w:sz w:val="24"/>
        </w:rPr>
        <w:t>an</w:t>
      </w:r>
      <w:r>
        <w:rPr>
          <w:spacing w:val="-3"/>
          <w:sz w:val="24"/>
        </w:rPr>
        <w:t> </w:t>
      </w:r>
      <w:r>
        <w:rPr>
          <w:sz w:val="24"/>
        </w:rPr>
        <w:t>American</w:t>
      </w:r>
      <w:r>
        <w:rPr>
          <w:spacing w:val="-3"/>
          <w:sz w:val="24"/>
        </w:rPr>
        <w:t> </w:t>
      </w:r>
      <w:r>
        <w:rPr>
          <w:sz w:val="24"/>
        </w:rPr>
        <w:t>Indian,</w:t>
      </w:r>
      <w:r>
        <w:rPr>
          <w:spacing w:val="-3"/>
          <w:sz w:val="24"/>
        </w:rPr>
        <w:t> </w:t>
      </w:r>
      <w:r>
        <w:rPr>
          <w:sz w:val="24"/>
        </w:rPr>
        <w:t>Eskimo,</w:t>
      </w:r>
      <w:r>
        <w:rPr>
          <w:spacing w:val="-4"/>
          <w:sz w:val="24"/>
        </w:rPr>
        <w:t> </w:t>
      </w:r>
      <w:r>
        <w:rPr>
          <w:sz w:val="24"/>
        </w:rPr>
        <w:t>Aleut</w:t>
      </w:r>
      <w:r>
        <w:rPr>
          <w:spacing w:val="-2"/>
          <w:sz w:val="24"/>
        </w:rPr>
        <w:t> </w:t>
      </w:r>
      <w:r>
        <w:rPr>
          <w:sz w:val="24"/>
        </w:rPr>
        <w:t>or</w:t>
      </w:r>
      <w:r>
        <w:rPr>
          <w:spacing w:val="-3"/>
          <w:sz w:val="24"/>
        </w:rPr>
        <w:t> </w:t>
      </w:r>
      <w:r>
        <w:rPr>
          <w:sz w:val="24"/>
        </w:rPr>
        <w:t>Native</w:t>
      </w:r>
      <w:r>
        <w:rPr>
          <w:spacing w:val="-4"/>
          <w:sz w:val="24"/>
        </w:rPr>
        <w:t> </w:t>
      </w:r>
      <w:r>
        <w:rPr>
          <w:sz w:val="24"/>
        </w:rPr>
        <w:t>Hawaiian,</w:t>
      </w:r>
      <w:r>
        <w:rPr>
          <w:spacing w:val="-5"/>
          <w:sz w:val="24"/>
        </w:rPr>
        <w:t> </w:t>
      </w:r>
      <w:r>
        <w:rPr>
          <w:sz w:val="24"/>
        </w:rPr>
        <w:t>and</w:t>
      </w:r>
      <w:r>
        <w:rPr>
          <w:spacing w:val="-2"/>
          <w:sz w:val="24"/>
        </w:rPr>
        <w:t> </w:t>
      </w:r>
      <w:r>
        <w:rPr>
          <w:sz w:val="24"/>
        </w:rPr>
        <w:t>regarded as  such by the community of which the person claims to be</w:t>
      </w:r>
      <w:r>
        <w:rPr>
          <w:spacing w:val="-13"/>
          <w:sz w:val="24"/>
        </w:rPr>
        <w:t> </w:t>
      </w:r>
      <w:r>
        <w:rPr>
          <w:sz w:val="24"/>
        </w:rPr>
        <w:t>a</w:t>
      </w:r>
      <w:r>
        <w:rPr>
          <w:spacing w:val="-1"/>
          <w:sz w:val="24"/>
        </w:rPr>
        <w:t> </w:t>
      </w:r>
      <w:r>
        <w:rPr>
          <w:sz w:val="24"/>
        </w:rPr>
        <w:t>part.</w:t>
        <w:tab/>
      </w:r>
      <w:r>
        <w:rPr>
          <w:sz w:val="24"/>
          <w:u w:val="single"/>
        </w:rPr>
        <w:t> </w:t>
        <w:tab/>
      </w:r>
      <w:r>
        <w:rPr>
          <w:sz w:val="24"/>
        </w:rPr>
        <w:t>(N)</w:t>
      </w:r>
    </w:p>
    <w:p>
      <w:pPr>
        <w:pStyle w:val="BodyText"/>
      </w:pPr>
    </w:p>
    <w:p>
      <w:pPr>
        <w:pStyle w:val="BodyText"/>
        <w:spacing w:before="2"/>
        <w:rPr>
          <w:sz w:val="33"/>
        </w:rPr>
      </w:pPr>
    </w:p>
    <w:p>
      <w:pPr>
        <w:pStyle w:val="BodyText"/>
        <w:spacing w:line="204" w:lineRule="auto"/>
        <w:ind w:left="480" w:right="300"/>
        <w:jc w:val="both"/>
      </w:pPr>
      <w:r>
        <w:rPr/>
        <w:t>A Veteran or Service Disabled Veteran business is defined as an organization that is 51% owned, controlled and/or managed by Veterans. The firm should be certified by a recognized agency (e.g., state, local,</w:t>
      </w:r>
      <w:r>
        <w:rPr>
          <w:spacing w:val="-36"/>
        </w:rPr>
        <w:t> </w:t>
      </w:r>
      <w:r>
        <w:rPr/>
        <w:t>federal, etc.). Please see Public Law 109-461 for more</w:t>
      </w:r>
      <w:r>
        <w:rPr>
          <w:spacing w:val="-2"/>
        </w:rPr>
        <w:t> </w:t>
      </w:r>
      <w:r>
        <w:rPr/>
        <w:t>detail.</w:t>
      </w:r>
    </w:p>
    <w:p>
      <w:pPr>
        <w:pStyle w:val="BodyText"/>
      </w:pPr>
    </w:p>
    <w:p>
      <w:pPr>
        <w:pStyle w:val="BodyText"/>
        <w:spacing w:before="2"/>
        <w:rPr>
          <w:sz w:val="30"/>
        </w:rPr>
      </w:pPr>
    </w:p>
    <w:p>
      <w:pPr>
        <w:pStyle w:val="BodyText"/>
        <w:tabs>
          <w:tab w:pos="5880" w:val="left" w:leader="none"/>
        </w:tabs>
        <w:ind w:left="480"/>
        <w:jc w:val="both"/>
      </w:pPr>
      <w:r>
        <w:rPr/>
        <w:t>VETERAN BUSINESS</w:t>
      </w:r>
      <w:r>
        <w:rPr>
          <w:spacing w:val="-1"/>
        </w:rPr>
        <w:t> </w:t>
      </w:r>
      <w:r>
        <w:rPr/>
        <w:t>ENTERPRISE    </w:t>
      </w:r>
      <w:r>
        <w:rPr>
          <w:u w:val="single"/>
        </w:rPr>
        <w:t>          </w:t>
      </w:r>
      <w:r>
        <w:rPr>
          <w:spacing w:val="50"/>
          <w:u w:val="single"/>
        </w:rPr>
        <w:t> </w:t>
      </w:r>
      <w:r>
        <w:rPr/>
        <w:t>Yes</w:t>
      </w:r>
      <w:r>
        <w:rPr>
          <w:u w:val="single"/>
        </w:rPr>
        <w:t> </w:t>
        <w:tab/>
      </w:r>
      <w:r>
        <w:rPr/>
        <w:t>No</w:t>
      </w:r>
    </w:p>
    <w:p>
      <w:pPr>
        <w:pStyle w:val="BodyText"/>
        <w:spacing w:before="3"/>
        <w:rPr>
          <w:sz w:val="25"/>
        </w:rPr>
      </w:pPr>
    </w:p>
    <w:p>
      <w:pPr>
        <w:pStyle w:val="BodyText"/>
        <w:tabs>
          <w:tab w:pos="6155" w:val="left" w:leader="none"/>
          <w:tab w:pos="6752" w:val="left" w:leader="none"/>
          <w:tab w:pos="7347" w:val="left" w:leader="none"/>
          <w:tab w:pos="7944" w:val="left" w:leader="none"/>
        </w:tabs>
        <w:spacing w:line="345" w:lineRule="exact"/>
        <w:ind w:left="480"/>
      </w:pPr>
      <w:r>
        <w:rPr/>
        <w:t>SERVICE DISABLED VETERAN</w:t>
      </w:r>
      <w:r>
        <w:rPr>
          <w:spacing w:val="-4"/>
        </w:rPr>
        <w:t> </w:t>
      </w:r>
      <w:r>
        <w:rPr/>
        <w:t>BUSINESS</w:t>
      </w:r>
      <w:r>
        <w:rPr>
          <w:spacing w:val="-3"/>
        </w:rPr>
        <w:t> </w:t>
      </w:r>
      <w:r>
        <w:rPr/>
        <w:t>ENTERPRISE</w:t>
        <w:tab/>
      </w:r>
      <w:r>
        <w:rPr>
          <w:u w:val="single"/>
        </w:rPr>
        <w:t> </w:t>
        <w:tab/>
      </w:r>
      <w:r>
        <w:rPr/>
        <w:t>Yes</w:t>
        <w:tab/>
      </w:r>
      <w:r>
        <w:rPr>
          <w:u w:val="single"/>
        </w:rPr>
        <w:t> </w:t>
        <w:tab/>
      </w:r>
      <w:r>
        <w:rPr/>
        <w:t>No</w:t>
      </w:r>
    </w:p>
    <w:p>
      <w:pPr>
        <w:pStyle w:val="BodyText"/>
        <w:spacing w:before="1"/>
        <w:rPr>
          <w:sz w:val="25"/>
        </w:rPr>
      </w:pPr>
    </w:p>
    <w:p>
      <w:pPr>
        <w:pStyle w:val="BodyText"/>
        <w:tabs>
          <w:tab w:pos="6553" w:val="left" w:leader="none"/>
        </w:tabs>
        <w:spacing w:line="405" w:lineRule="auto"/>
        <w:ind w:left="480" w:right="222"/>
      </w:pPr>
      <w:r>
        <w:rPr/>
        <w:t>Please</w:t>
      </w:r>
      <w:r>
        <w:rPr>
          <w:spacing w:val="-11"/>
        </w:rPr>
        <w:t> </w:t>
      </w:r>
      <w:r>
        <w:rPr>
          <w:spacing w:val="-3"/>
        </w:rPr>
        <w:t>include</w:t>
      </w:r>
      <w:r>
        <w:rPr>
          <w:spacing w:val="-10"/>
        </w:rPr>
        <w:t> </w:t>
      </w:r>
      <w:r>
        <w:rPr/>
        <w:t>what</w:t>
      </w:r>
      <w:r>
        <w:rPr>
          <w:spacing w:val="-12"/>
        </w:rPr>
        <w:t> </w:t>
      </w:r>
      <w:r>
        <w:rPr/>
        <w:t>organization</w:t>
      </w:r>
      <w:r>
        <w:rPr>
          <w:spacing w:val="-14"/>
        </w:rPr>
        <w:t> </w:t>
      </w:r>
      <w:r>
        <w:rPr/>
        <w:t>your</w:t>
      </w:r>
      <w:r>
        <w:rPr>
          <w:spacing w:val="-10"/>
        </w:rPr>
        <w:t> </w:t>
      </w:r>
      <w:r>
        <w:rPr/>
        <w:t>firm</w:t>
      </w:r>
      <w:r>
        <w:rPr>
          <w:spacing w:val="-12"/>
        </w:rPr>
        <w:t> </w:t>
      </w:r>
      <w:r>
        <w:rPr/>
        <w:t>has</w:t>
      </w:r>
      <w:r>
        <w:rPr>
          <w:spacing w:val="-12"/>
        </w:rPr>
        <w:t> </w:t>
      </w:r>
      <w:r>
        <w:rPr/>
        <w:t>secured</w:t>
      </w:r>
      <w:r>
        <w:rPr>
          <w:spacing w:val="-11"/>
        </w:rPr>
        <w:t> </w:t>
      </w:r>
      <w:r>
        <w:rPr/>
        <w:t>certification</w:t>
      </w:r>
      <w:r>
        <w:rPr>
          <w:spacing w:val="-14"/>
        </w:rPr>
        <w:t> </w:t>
      </w:r>
      <w:r>
        <w:rPr/>
        <w:t>from</w:t>
      </w:r>
      <w:r>
        <w:rPr>
          <w:spacing w:val="-12"/>
        </w:rPr>
        <w:t> </w:t>
      </w:r>
      <w:r>
        <w:rPr/>
        <w:t>with</w:t>
      </w:r>
      <w:r>
        <w:rPr>
          <w:spacing w:val="-11"/>
        </w:rPr>
        <w:t> </w:t>
      </w:r>
      <w:r>
        <w:rPr/>
        <w:t>a</w:t>
      </w:r>
      <w:r>
        <w:rPr>
          <w:spacing w:val="-10"/>
        </w:rPr>
        <w:t> </w:t>
      </w:r>
      <w:r>
        <w:rPr/>
        <w:t>certification</w:t>
      </w:r>
      <w:r>
        <w:rPr>
          <w:spacing w:val="-12"/>
        </w:rPr>
        <w:t> </w:t>
      </w:r>
      <w:r>
        <w:rPr>
          <w:spacing w:val="-3"/>
        </w:rPr>
        <w:t>number</w:t>
      </w:r>
      <w:r>
        <w:rPr>
          <w:spacing w:val="-12"/>
        </w:rPr>
        <w:t> </w:t>
      </w:r>
      <w:r>
        <w:rPr/>
        <w:t>and</w:t>
      </w:r>
      <w:r>
        <w:rPr>
          <w:spacing w:val="-12"/>
        </w:rPr>
        <w:t> </w:t>
      </w:r>
      <w:r>
        <w:rPr>
          <w:spacing w:val="-3"/>
        </w:rPr>
        <w:t>date </w:t>
      </w:r>
      <w:r>
        <w:rPr/>
        <w:t>it</w:t>
      </w:r>
      <w:r>
        <w:rPr>
          <w:spacing w:val="-16"/>
        </w:rPr>
        <w:t> </w:t>
      </w:r>
      <w:r>
        <w:rPr/>
        <w:t>expires.</w:t>
      </w:r>
      <w:r>
        <w:rPr>
          <w:spacing w:val="-3"/>
        </w:rPr>
        <w:t> </w:t>
      </w:r>
      <w:r>
        <w:rPr>
          <w:u w:val="single"/>
        </w:rPr>
        <w:t> </w:t>
        <w:tab/>
      </w:r>
    </w:p>
    <w:p>
      <w:pPr>
        <w:pStyle w:val="BodyText"/>
        <w:spacing w:before="6"/>
        <w:rPr>
          <w:sz w:val="8"/>
        </w:rPr>
      </w:pPr>
    </w:p>
    <w:p>
      <w:pPr>
        <w:pStyle w:val="BodyText"/>
        <w:tabs>
          <w:tab w:pos="2776" w:val="left" w:leader="none"/>
          <w:tab w:pos="3752" w:val="left" w:leader="none"/>
        </w:tabs>
        <w:spacing w:line="345" w:lineRule="exact"/>
        <w:ind w:left="480"/>
      </w:pPr>
      <w:r>
        <w:rPr/>
        <w:t>MISSOURI</w:t>
      </w:r>
      <w:r>
        <w:rPr>
          <w:spacing w:val="-3"/>
        </w:rPr>
        <w:t> </w:t>
      </w:r>
      <w:r>
        <w:rPr/>
        <w:t>FIRM:</w:t>
      </w:r>
      <w:r>
        <w:rPr>
          <w:u w:val="single"/>
        </w:rPr>
        <w:t> </w:t>
        <w:tab/>
      </w:r>
      <w:r>
        <w:rPr/>
        <w:t>Yes</w:t>
      </w:r>
      <w:r>
        <w:rPr>
          <w:u w:val="single"/>
        </w:rPr>
        <w:t> </w:t>
        <w:tab/>
      </w:r>
      <w:r>
        <w:rPr/>
        <w:t>No</w:t>
      </w:r>
    </w:p>
    <w:p>
      <w:pPr>
        <w:pStyle w:val="BodyText"/>
        <w:spacing w:before="13"/>
      </w:pPr>
    </w:p>
    <w:p>
      <w:pPr>
        <w:pStyle w:val="BodyText"/>
        <w:spacing w:line="405" w:lineRule="auto"/>
        <w:ind w:left="480"/>
      </w:pPr>
      <w:r>
        <w:rPr/>
        <w:t>A Missouri Firm is defined as an organization which has and maintains within the State of Missouri a regular place of business for the transaction of their business.</w:t>
      </w:r>
    </w:p>
    <w:p>
      <w:pPr>
        <w:pStyle w:val="BodyText"/>
        <w:spacing w:before="123"/>
        <w:ind w:left="480"/>
      </w:pPr>
      <w:r>
        <w:rPr/>
        <w:t>BUSINESS TYPE:</w:t>
      </w:r>
    </w:p>
    <w:p>
      <w:pPr>
        <w:pStyle w:val="BodyText"/>
        <w:spacing w:before="3"/>
        <w:rPr>
          <w:sz w:val="25"/>
        </w:rPr>
      </w:pPr>
    </w:p>
    <w:p>
      <w:pPr>
        <w:pStyle w:val="BodyText"/>
        <w:tabs>
          <w:tab w:pos="4440" w:val="left" w:leader="none"/>
          <w:tab w:pos="5089" w:val="left" w:leader="none"/>
        </w:tabs>
        <w:spacing w:line="345" w:lineRule="exact"/>
        <w:ind w:left="480"/>
      </w:pPr>
      <w:r>
        <w:rPr/>
        <w:t>Manufacturer</w:t>
        <w:tab/>
      </w:r>
      <w:r>
        <w:rPr>
          <w:u w:val="single"/>
        </w:rPr>
        <w:t> </w:t>
        <w:tab/>
      </w:r>
      <w:r>
        <w:rPr/>
        <w:t>(M)</w:t>
      </w:r>
    </w:p>
    <w:p>
      <w:pPr>
        <w:pStyle w:val="BodyText"/>
        <w:tabs>
          <w:tab w:pos="4537" w:val="left" w:leader="none"/>
          <w:tab w:pos="5183" w:val="left" w:leader="none"/>
        </w:tabs>
        <w:spacing w:before="67"/>
        <w:ind w:left="480"/>
      </w:pPr>
      <w:r>
        <w:rPr/>
        <w:t>Distributor/Wholesaler</w:t>
        <w:tab/>
      </w:r>
      <w:r>
        <w:rPr>
          <w:u w:val="single"/>
        </w:rPr>
        <w:t> </w:t>
        <w:tab/>
      </w:r>
      <w:r>
        <w:rPr/>
        <w:t>(D)</w:t>
      </w:r>
    </w:p>
    <w:p>
      <w:pPr>
        <w:pStyle w:val="BodyText"/>
        <w:tabs>
          <w:tab w:pos="4536" w:val="left" w:leader="none"/>
          <w:tab w:pos="5188" w:val="left" w:leader="none"/>
        </w:tabs>
        <w:spacing w:before="66"/>
        <w:ind w:left="480"/>
      </w:pPr>
      <w:r>
        <w:rPr/>
        <w:t>Manufacturer’s</w:t>
      </w:r>
      <w:r>
        <w:rPr>
          <w:spacing w:val="-2"/>
        </w:rPr>
        <w:t> </w:t>
      </w:r>
      <w:r>
        <w:rPr/>
        <w:t>Representative</w:t>
        <w:tab/>
      </w:r>
      <w:r>
        <w:rPr>
          <w:u w:val="single"/>
        </w:rPr>
        <w:t> </w:t>
        <w:tab/>
      </w:r>
      <w:r>
        <w:rPr/>
        <w:t>(F)</w:t>
      </w:r>
    </w:p>
    <w:p>
      <w:pPr>
        <w:pStyle w:val="BodyText"/>
        <w:tabs>
          <w:tab w:pos="3776" w:val="left" w:leader="none"/>
          <w:tab w:pos="4425" w:val="left" w:leader="none"/>
        </w:tabs>
        <w:spacing w:before="67"/>
        <w:ind w:left="480"/>
      </w:pPr>
      <w:r>
        <w:rPr/>
        <w:t>Service</w:t>
        <w:tab/>
      </w:r>
      <w:r>
        <w:rPr>
          <w:u w:val="single"/>
        </w:rPr>
        <w:t> </w:t>
        <w:tab/>
      </w:r>
      <w:r>
        <w:rPr/>
        <w:t>(S)</w:t>
      </w:r>
    </w:p>
    <w:p>
      <w:pPr>
        <w:spacing w:after="0"/>
        <w:sectPr>
          <w:pgSz w:w="12240" w:h="15840"/>
          <w:pgMar w:header="0" w:footer="894" w:top="680" w:bottom="1120" w:left="600" w:right="500"/>
        </w:sectPr>
      </w:pPr>
    </w:p>
    <w:p>
      <w:pPr>
        <w:pStyle w:val="BodyText"/>
        <w:tabs>
          <w:tab w:pos="3776" w:val="left" w:leader="none"/>
          <w:tab w:pos="4424" w:val="left" w:leader="none"/>
        </w:tabs>
        <w:spacing w:line="332" w:lineRule="exact"/>
        <w:ind w:left="480"/>
      </w:pPr>
      <w:r>
        <w:rPr/>
        <w:t>Retail</w:t>
        <w:tab/>
      </w:r>
      <w:r>
        <w:rPr>
          <w:u w:val="single"/>
        </w:rPr>
        <w:t> </w:t>
        <w:tab/>
      </w:r>
      <w:r>
        <w:rPr/>
        <w:t>(R)</w:t>
      </w:r>
    </w:p>
    <w:p>
      <w:pPr>
        <w:pStyle w:val="BodyText"/>
        <w:tabs>
          <w:tab w:pos="3816" w:val="left" w:leader="none"/>
          <w:tab w:pos="4462" w:val="left" w:leader="none"/>
        </w:tabs>
        <w:spacing w:before="67"/>
        <w:ind w:left="480"/>
      </w:pPr>
      <w:r>
        <w:rPr/>
        <w:t>Contractor</w:t>
        <w:tab/>
      </w:r>
      <w:r>
        <w:rPr>
          <w:u w:val="single"/>
        </w:rPr>
        <w:t> </w:t>
        <w:tab/>
      </w:r>
      <w:r>
        <w:rPr/>
        <w:t>(C)</w:t>
      </w:r>
    </w:p>
    <w:p>
      <w:pPr>
        <w:pStyle w:val="BodyText"/>
        <w:tabs>
          <w:tab w:pos="3776" w:val="left" w:leader="none"/>
          <w:tab w:pos="4424" w:val="left" w:leader="none"/>
        </w:tabs>
        <w:spacing w:before="67"/>
        <w:ind w:left="480"/>
      </w:pPr>
      <w:r>
        <w:rPr/>
        <w:t>Other</w:t>
        <w:tab/>
      </w:r>
      <w:r>
        <w:rPr>
          <w:u w:val="single"/>
        </w:rPr>
        <w:t> </w:t>
        <w:tab/>
      </w:r>
      <w:r>
        <w:rPr/>
        <w:t>(O)</w:t>
      </w:r>
    </w:p>
    <w:p>
      <w:pPr>
        <w:pStyle w:val="BodyText"/>
      </w:pPr>
    </w:p>
    <w:p>
      <w:pPr>
        <w:pStyle w:val="BodyText"/>
        <w:spacing w:before="8"/>
        <w:rPr>
          <w:sz w:val="29"/>
        </w:rPr>
      </w:pPr>
    </w:p>
    <w:p>
      <w:pPr>
        <w:pStyle w:val="BodyText"/>
        <w:tabs>
          <w:tab w:pos="3460" w:val="left" w:leader="none"/>
          <w:tab w:pos="4436" w:val="left" w:leader="none"/>
        </w:tabs>
        <w:spacing w:line="489" w:lineRule="auto"/>
        <w:ind w:left="480" w:right="6421"/>
      </w:pPr>
      <w:r>
        <w:rPr/>
        <w:t>SOLE</w:t>
      </w:r>
      <w:r>
        <w:rPr>
          <w:spacing w:val="-1"/>
        </w:rPr>
        <w:t> </w:t>
      </w:r>
      <w:r>
        <w:rPr/>
        <w:t>PROPRIETORSHIP:</w:t>
      </w:r>
      <w:r>
        <w:rPr>
          <w:u w:val="single"/>
        </w:rPr>
        <w:t> </w:t>
        <w:tab/>
      </w:r>
      <w:r>
        <w:rPr/>
        <w:t>Yes</w:t>
      </w:r>
      <w:r>
        <w:rPr>
          <w:u w:val="single"/>
        </w:rPr>
        <w:t> </w:t>
        <w:tab/>
      </w:r>
      <w:r>
        <w:rPr>
          <w:spacing w:val="-8"/>
        </w:rPr>
        <w:t>No </w:t>
      </w:r>
      <w:r>
        <w:rPr/>
        <w:t>SUPPLIER’S</w:t>
      </w:r>
      <w:r>
        <w:rPr>
          <w:spacing w:val="-1"/>
        </w:rPr>
        <w:t> </w:t>
      </w:r>
      <w:r>
        <w:rPr/>
        <w:t>CERTIFICATION:</w:t>
      </w:r>
    </w:p>
    <w:p>
      <w:pPr>
        <w:pStyle w:val="BodyText"/>
        <w:spacing w:line="204" w:lineRule="auto" w:before="45"/>
        <w:ind w:left="480" w:right="229"/>
      </w:pPr>
      <w:r>
        <w:rPr/>
        <w:t>The undersigned hereby certifies that the foregoing information is a true and correct statement of the facts and agrees to abide by the laws of the State of Missouri and the rules and regulations of the University of Missouri System now in effect including any subsequent revisions thereof. Supplier acknowledges that it is his/her responsibility to keep the information current by notifying the University of Missouri of any changes. The supplier also acknowledges that repeated failure to respond to Invitation to Bids may result in removal from the bid lists.</w:t>
      </w:r>
    </w:p>
    <w:p>
      <w:pPr>
        <w:pStyle w:val="BodyText"/>
      </w:pPr>
    </w:p>
    <w:p>
      <w:pPr>
        <w:pStyle w:val="BodyText"/>
        <w:spacing w:before="12"/>
        <w:rPr>
          <w:sz w:val="29"/>
        </w:rPr>
      </w:pPr>
    </w:p>
    <w:p>
      <w:pPr>
        <w:pStyle w:val="BodyText"/>
        <w:ind w:left="480"/>
      </w:pPr>
      <w:r>
        <w:rPr/>
        <w:t>Signature of Person Authorized to Sign this Supplier Registration Information Form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pStyle w:val="BodyText"/>
        <w:tabs>
          <w:tab w:pos="5605" w:val="left" w:leader="none"/>
          <w:tab w:pos="6315" w:val="left" w:leader="none"/>
          <w:tab w:pos="9695" w:val="left" w:leader="none"/>
        </w:tabs>
        <w:spacing w:line="345" w:lineRule="exact"/>
        <w:ind w:left="480"/>
      </w:pPr>
      <w:r>
        <w:rPr/>
        <w:t>Title:</w:t>
      </w:r>
      <w:r>
        <w:rPr>
          <w:u w:val="single"/>
        </w:rPr>
        <w:t> </w:t>
        <w:tab/>
      </w:r>
      <w:r>
        <w:rPr/>
        <w:tab/>
        <w:t>Date: </w:t>
      </w:r>
      <w:r>
        <w:rPr>
          <w:u w:val="single"/>
        </w:rPr>
        <w:t> </w:t>
        <w:tab/>
      </w:r>
    </w:p>
    <w:sectPr>
      <w:pgSz w:w="12240" w:h="15840"/>
      <w:pgMar w:header="0" w:footer="894" w:top="680" w:bottom="1120" w:left="6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Light">
    <w:altName w:val="Calibri-Light"/>
    <w:charset w:val="0"/>
    <w:family w:val="swiss"/>
    <w:pitch w:val="variable"/>
  </w:font>
  <w:font w:name="Symbol">
    <w:altName w:val="Symbol"/>
    <w:charset w:val="0"/>
    <w:family w:val="auto"/>
    <w:pitch w:val="variable"/>
  </w:font>
  <w:font w:name="Wingdings">
    <w:altName w:val="Wingdings"/>
    <w:charset w:val="0"/>
    <w:family w:val="auto"/>
    <w:pitch w:val="variable"/>
  </w:font>
  <w:font w:name="Courier New">
    <w:altName w:val="Courier New"/>
    <w:charset w:val="0"/>
    <w:family w:val="roma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line style="position:absolute;mso-position-horizontal-relative:page;mso-position-vertical-relative:page;z-index:-21280" from="52.560001pt,731.856018pt" to="577.540001pt,731.856018pt" stroked="true" strokeweight=".48pt" strokecolor="#d9d9d9">
          <v:stroke dashstyle="solid"/>
          <w10:wrap type="none"/>
        </v:line>
      </w:pict>
    </w:r>
    <w:r>
      <w:rPr/>
      <w:pict>
        <v:shapetype id="_x0000_t202" o:spt="202" coordsize="21600,21600" path="m,l,21600r21600,l21600,xe">
          <v:stroke joinstyle="miter"/>
          <v:path gradientshapeok="t" o:connecttype="rect"/>
        </v:shapetype>
        <v:shape style="position:absolute;margin-left:52pt;margin-top:732.300537pt;width:48.6pt;height:13.05pt;mso-position-horizontal-relative:page;mso-position-vertical-relative:page;z-index:-21256" type="#_x0000_t202" filled="false" stroked="false">
          <v:textbox inset="0,0,0,0">
            <w:txbxContent>
              <w:p>
                <w:pPr>
                  <w:spacing w:before="10"/>
                  <w:ind w:left="40" w:right="0" w:firstLine="0"/>
                  <w:jc w:val="left"/>
                  <w:rPr>
                    <w:rFonts w:ascii="Times New Roman"/>
                    <w:sz w:val="20"/>
                  </w:rPr>
                </w:pPr>
                <w:r>
                  <w:rPr/>
                  <w:fldChar w:fldCharType="begin"/>
                </w:r>
                <w:r>
                  <w:rPr>
                    <w:rFonts w:ascii="Times New Roman"/>
                    <w:b/>
                    <w:sz w:val="20"/>
                  </w:rPr>
                  <w:instrText> PAGE </w:instrText>
                </w:r>
                <w:r>
                  <w:rPr/>
                  <w:fldChar w:fldCharType="separate"/>
                </w:r>
                <w:r>
                  <w:rPr/>
                  <w:t>20</w:t>
                </w:r>
                <w:r>
                  <w:rPr/>
                  <w:fldChar w:fldCharType="end"/>
                </w:r>
                <w:r>
                  <w:rPr>
                    <w:rFonts w:ascii="Times New Roman"/>
                    <w:b/>
                    <w:sz w:val="20"/>
                  </w:rPr>
                  <w:t> | </w:t>
                </w:r>
                <w:r>
                  <w:rPr>
                    <w:rFonts w:ascii="Times New Roman"/>
                    <w:color w:val="7E7E7E"/>
                    <w:sz w:val="20"/>
                  </w:rPr>
                  <w:t>P a g e</w:t>
                </w:r>
              </w:p>
            </w:txbxContent>
          </v:textbox>
          <w10:wrap type="none"/>
        </v:shape>
      </w:pict>
    </w:r>
    <w:r>
      <w:rPr/>
      <w:pict>
        <v:shape style="position:absolute;margin-left:203.740005pt;margin-top:732.300537pt;width:93.6pt;height:13.05pt;mso-position-horizontal-relative:page;mso-position-vertical-relative:page;z-index:-21232" type="#_x0000_t202" filled="false" stroked="false">
          <v:textbox inset="0,0,0,0">
            <w:txbxContent>
              <w:p>
                <w:pPr>
                  <w:spacing w:before="10"/>
                  <w:ind w:left="20" w:right="0" w:firstLine="0"/>
                  <w:jc w:val="left"/>
                  <w:rPr>
                    <w:rFonts w:ascii="Times New Roman"/>
                    <w:sz w:val="20"/>
                  </w:rPr>
                </w:pPr>
                <w:r>
                  <w:rPr>
                    <w:rFonts w:ascii="Times New Roman"/>
                    <w:color w:val="7E7E7E"/>
                    <w:sz w:val="20"/>
                  </w:rPr>
                  <w:t>1 6 9 0 0 7 D H C</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770" w:hanging="291"/>
        <w:jc w:val="right"/>
      </w:pPr>
      <w:rPr>
        <w:rFonts w:hint="default" w:ascii="Calibri-Light" w:hAnsi="Calibri-Light" w:eastAsia="Calibri-Light" w:cs="Calibri-Light"/>
        <w:spacing w:val="-3"/>
        <w:w w:val="100"/>
        <w:sz w:val="24"/>
        <w:szCs w:val="24"/>
        <w:lang w:val="en-us" w:eastAsia="en-us" w:bidi="en-us"/>
      </w:rPr>
    </w:lvl>
    <w:lvl w:ilvl="1">
      <w:start w:val="0"/>
      <w:numFmt w:val="bullet"/>
      <w:lvlText w:val="•"/>
      <w:lvlJc w:val="left"/>
      <w:pPr>
        <w:ind w:left="1816" w:hanging="291"/>
      </w:pPr>
      <w:rPr>
        <w:rFonts w:hint="default"/>
        <w:lang w:val="en-us" w:eastAsia="en-us" w:bidi="en-us"/>
      </w:rPr>
    </w:lvl>
    <w:lvl w:ilvl="2">
      <w:start w:val="0"/>
      <w:numFmt w:val="bullet"/>
      <w:lvlText w:val="•"/>
      <w:lvlJc w:val="left"/>
      <w:pPr>
        <w:ind w:left="2852" w:hanging="291"/>
      </w:pPr>
      <w:rPr>
        <w:rFonts w:hint="default"/>
        <w:lang w:val="en-us" w:eastAsia="en-us" w:bidi="en-us"/>
      </w:rPr>
    </w:lvl>
    <w:lvl w:ilvl="3">
      <w:start w:val="0"/>
      <w:numFmt w:val="bullet"/>
      <w:lvlText w:val="•"/>
      <w:lvlJc w:val="left"/>
      <w:pPr>
        <w:ind w:left="3888" w:hanging="291"/>
      </w:pPr>
      <w:rPr>
        <w:rFonts w:hint="default"/>
        <w:lang w:val="en-us" w:eastAsia="en-us" w:bidi="en-us"/>
      </w:rPr>
    </w:lvl>
    <w:lvl w:ilvl="4">
      <w:start w:val="0"/>
      <w:numFmt w:val="bullet"/>
      <w:lvlText w:val="•"/>
      <w:lvlJc w:val="left"/>
      <w:pPr>
        <w:ind w:left="4924" w:hanging="291"/>
      </w:pPr>
      <w:rPr>
        <w:rFonts w:hint="default"/>
        <w:lang w:val="en-us" w:eastAsia="en-us" w:bidi="en-us"/>
      </w:rPr>
    </w:lvl>
    <w:lvl w:ilvl="5">
      <w:start w:val="0"/>
      <w:numFmt w:val="bullet"/>
      <w:lvlText w:val="•"/>
      <w:lvlJc w:val="left"/>
      <w:pPr>
        <w:ind w:left="5960" w:hanging="291"/>
      </w:pPr>
      <w:rPr>
        <w:rFonts w:hint="default"/>
        <w:lang w:val="en-us" w:eastAsia="en-us" w:bidi="en-us"/>
      </w:rPr>
    </w:lvl>
    <w:lvl w:ilvl="6">
      <w:start w:val="0"/>
      <w:numFmt w:val="bullet"/>
      <w:lvlText w:val="•"/>
      <w:lvlJc w:val="left"/>
      <w:pPr>
        <w:ind w:left="6996" w:hanging="291"/>
      </w:pPr>
      <w:rPr>
        <w:rFonts w:hint="default"/>
        <w:lang w:val="en-us" w:eastAsia="en-us" w:bidi="en-us"/>
      </w:rPr>
    </w:lvl>
    <w:lvl w:ilvl="7">
      <w:start w:val="0"/>
      <w:numFmt w:val="bullet"/>
      <w:lvlText w:val="•"/>
      <w:lvlJc w:val="left"/>
      <w:pPr>
        <w:ind w:left="8032" w:hanging="291"/>
      </w:pPr>
      <w:rPr>
        <w:rFonts w:hint="default"/>
        <w:lang w:val="en-us" w:eastAsia="en-us" w:bidi="en-us"/>
      </w:rPr>
    </w:lvl>
    <w:lvl w:ilvl="8">
      <w:start w:val="0"/>
      <w:numFmt w:val="bullet"/>
      <w:lvlText w:val="•"/>
      <w:lvlJc w:val="left"/>
      <w:pPr>
        <w:ind w:left="9068" w:hanging="291"/>
      </w:pPr>
      <w:rPr>
        <w:rFonts w:hint="default"/>
        <w:lang w:val="en-us" w:eastAsia="en-us" w:bidi="en-us"/>
      </w:rPr>
    </w:lvl>
  </w:abstractNum>
  <w:abstractNum w:abstractNumId="9">
    <w:multiLevelType w:val="hybridMultilevel"/>
    <w:lvl w:ilvl="0">
      <w:start w:val="1"/>
      <w:numFmt w:val="lowerLetter"/>
      <w:lvlText w:val="%1."/>
      <w:lvlJc w:val="left"/>
      <w:pPr>
        <w:ind w:left="1560" w:hanging="360"/>
        <w:jc w:val="left"/>
      </w:pPr>
      <w:rPr>
        <w:rFonts w:hint="default" w:ascii="Calibri-Light" w:hAnsi="Calibri-Light" w:eastAsia="Calibri-Light" w:cs="Calibri-Light"/>
        <w:spacing w:val="-3"/>
        <w:w w:val="100"/>
        <w:sz w:val="24"/>
        <w:szCs w:val="24"/>
        <w:lang w:val="en-us" w:eastAsia="en-us" w:bidi="en-us"/>
      </w:rPr>
    </w:lvl>
    <w:lvl w:ilvl="1">
      <w:start w:val="0"/>
      <w:numFmt w:val="bullet"/>
      <w:lvlText w:val="•"/>
      <w:lvlJc w:val="left"/>
      <w:pPr>
        <w:ind w:left="2518" w:hanging="360"/>
      </w:pPr>
      <w:rPr>
        <w:rFonts w:hint="default"/>
        <w:lang w:val="en-us" w:eastAsia="en-us" w:bidi="en-us"/>
      </w:rPr>
    </w:lvl>
    <w:lvl w:ilvl="2">
      <w:start w:val="0"/>
      <w:numFmt w:val="bullet"/>
      <w:lvlText w:val="•"/>
      <w:lvlJc w:val="left"/>
      <w:pPr>
        <w:ind w:left="3476" w:hanging="360"/>
      </w:pPr>
      <w:rPr>
        <w:rFonts w:hint="default"/>
        <w:lang w:val="en-us" w:eastAsia="en-us" w:bidi="en-us"/>
      </w:rPr>
    </w:lvl>
    <w:lvl w:ilvl="3">
      <w:start w:val="0"/>
      <w:numFmt w:val="bullet"/>
      <w:lvlText w:val="•"/>
      <w:lvlJc w:val="left"/>
      <w:pPr>
        <w:ind w:left="4434" w:hanging="360"/>
      </w:pPr>
      <w:rPr>
        <w:rFonts w:hint="default"/>
        <w:lang w:val="en-us" w:eastAsia="en-us" w:bidi="en-us"/>
      </w:rPr>
    </w:lvl>
    <w:lvl w:ilvl="4">
      <w:start w:val="0"/>
      <w:numFmt w:val="bullet"/>
      <w:lvlText w:val="•"/>
      <w:lvlJc w:val="left"/>
      <w:pPr>
        <w:ind w:left="5392" w:hanging="360"/>
      </w:pPr>
      <w:rPr>
        <w:rFonts w:hint="default"/>
        <w:lang w:val="en-us" w:eastAsia="en-us" w:bidi="en-us"/>
      </w:rPr>
    </w:lvl>
    <w:lvl w:ilvl="5">
      <w:start w:val="0"/>
      <w:numFmt w:val="bullet"/>
      <w:lvlText w:val="•"/>
      <w:lvlJc w:val="left"/>
      <w:pPr>
        <w:ind w:left="6350" w:hanging="360"/>
      </w:pPr>
      <w:rPr>
        <w:rFonts w:hint="default"/>
        <w:lang w:val="en-us" w:eastAsia="en-us" w:bidi="en-us"/>
      </w:rPr>
    </w:lvl>
    <w:lvl w:ilvl="6">
      <w:start w:val="0"/>
      <w:numFmt w:val="bullet"/>
      <w:lvlText w:val="•"/>
      <w:lvlJc w:val="left"/>
      <w:pPr>
        <w:ind w:left="7308" w:hanging="360"/>
      </w:pPr>
      <w:rPr>
        <w:rFonts w:hint="default"/>
        <w:lang w:val="en-us" w:eastAsia="en-us" w:bidi="en-us"/>
      </w:rPr>
    </w:lvl>
    <w:lvl w:ilvl="7">
      <w:start w:val="0"/>
      <w:numFmt w:val="bullet"/>
      <w:lvlText w:val="•"/>
      <w:lvlJc w:val="left"/>
      <w:pPr>
        <w:ind w:left="8266" w:hanging="360"/>
      </w:pPr>
      <w:rPr>
        <w:rFonts w:hint="default"/>
        <w:lang w:val="en-us" w:eastAsia="en-us" w:bidi="en-us"/>
      </w:rPr>
    </w:lvl>
    <w:lvl w:ilvl="8">
      <w:start w:val="0"/>
      <w:numFmt w:val="bullet"/>
      <w:lvlText w:val="•"/>
      <w:lvlJc w:val="left"/>
      <w:pPr>
        <w:ind w:left="9224" w:hanging="360"/>
      </w:pPr>
      <w:rPr>
        <w:rFonts w:hint="default"/>
        <w:lang w:val="en-us" w:eastAsia="en-us" w:bidi="en-us"/>
      </w:rPr>
    </w:lvl>
  </w:abstractNum>
  <w:abstractNum w:abstractNumId="8">
    <w:multiLevelType w:val="hybridMultilevel"/>
    <w:lvl w:ilvl="0">
      <w:start w:val="1"/>
      <w:numFmt w:val="lowerLetter"/>
      <w:lvlText w:val="%1."/>
      <w:lvlJc w:val="left"/>
      <w:pPr>
        <w:ind w:left="1560" w:hanging="360"/>
        <w:jc w:val="left"/>
      </w:pPr>
      <w:rPr>
        <w:rFonts w:hint="default" w:ascii="Calibri-Light" w:hAnsi="Calibri-Light" w:eastAsia="Calibri-Light" w:cs="Calibri-Light"/>
        <w:spacing w:val="-4"/>
        <w:w w:val="100"/>
        <w:sz w:val="24"/>
        <w:szCs w:val="24"/>
        <w:lang w:val="en-us" w:eastAsia="en-us" w:bidi="en-us"/>
      </w:rPr>
    </w:lvl>
    <w:lvl w:ilvl="1">
      <w:start w:val="0"/>
      <w:numFmt w:val="bullet"/>
      <w:lvlText w:val="•"/>
      <w:lvlJc w:val="left"/>
      <w:pPr>
        <w:ind w:left="2518" w:hanging="360"/>
      </w:pPr>
      <w:rPr>
        <w:rFonts w:hint="default"/>
        <w:lang w:val="en-us" w:eastAsia="en-us" w:bidi="en-us"/>
      </w:rPr>
    </w:lvl>
    <w:lvl w:ilvl="2">
      <w:start w:val="0"/>
      <w:numFmt w:val="bullet"/>
      <w:lvlText w:val="•"/>
      <w:lvlJc w:val="left"/>
      <w:pPr>
        <w:ind w:left="3476" w:hanging="360"/>
      </w:pPr>
      <w:rPr>
        <w:rFonts w:hint="default"/>
        <w:lang w:val="en-us" w:eastAsia="en-us" w:bidi="en-us"/>
      </w:rPr>
    </w:lvl>
    <w:lvl w:ilvl="3">
      <w:start w:val="0"/>
      <w:numFmt w:val="bullet"/>
      <w:lvlText w:val="•"/>
      <w:lvlJc w:val="left"/>
      <w:pPr>
        <w:ind w:left="4434" w:hanging="360"/>
      </w:pPr>
      <w:rPr>
        <w:rFonts w:hint="default"/>
        <w:lang w:val="en-us" w:eastAsia="en-us" w:bidi="en-us"/>
      </w:rPr>
    </w:lvl>
    <w:lvl w:ilvl="4">
      <w:start w:val="0"/>
      <w:numFmt w:val="bullet"/>
      <w:lvlText w:val="•"/>
      <w:lvlJc w:val="left"/>
      <w:pPr>
        <w:ind w:left="5392" w:hanging="360"/>
      </w:pPr>
      <w:rPr>
        <w:rFonts w:hint="default"/>
        <w:lang w:val="en-us" w:eastAsia="en-us" w:bidi="en-us"/>
      </w:rPr>
    </w:lvl>
    <w:lvl w:ilvl="5">
      <w:start w:val="0"/>
      <w:numFmt w:val="bullet"/>
      <w:lvlText w:val="•"/>
      <w:lvlJc w:val="left"/>
      <w:pPr>
        <w:ind w:left="6350" w:hanging="360"/>
      </w:pPr>
      <w:rPr>
        <w:rFonts w:hint="default"/>
        <w:lang w:val="en-us" w:eastAsia="en-us" w:bidi="en-us"/>
      </w:rPr>
    </w:lvl>
    <w:lvl w:ilvl="6">
      <w:start w:val="0"/>
      <w:numFmt w:val="bullet"/>
      <w:lvlText w:val="•"/>
      <w:lvlJc w:val="left"/>
      <w:pPr>
        <w:ind w:left="7308" w:hanging="360"/>
      </w:pPr>
      <w:rPr>
        <w:rFonts w:hint="default"/>
        <w:lang w:val="en-us" w:eastAsia="en-us" w:bidi="en-us"/>
      </w:rPr>
    </w:lvl>
    <w:lvl w:ilvl="7">
      <w:start w:val="0"/>
      <w:numFmt w:val="bullet"/>
      <w:lvlText w:val="•"/>
      <w:lvlJc w:val="left"/>
      <w:pPr>
        <w:ind w:left="8266" w:hanging="360"/>
      </w:pPr>
      <w:rPr>
        <w:rFonts w:hint="default"/>
        <w:lang w:val="en-us" w:eastAsia="en-us" w:bidi="en-us"/>
      </w:rPr>
    </w:lvl>
    <w:lvl w:ilvl="8">
      <w:start w:val="0"/>
      <w:numFmt w:val="bullet"/>
      <w:lvlText w:val="•"/>
      <w:lvlJc w:val="left"/>
      <w:pPr>
        <w:ind w:left="9224" w:hanging="360"/>
      </w:pPr>
      <w:rPr>
        <w:rFonts w:hint="default"/>
        <w:lang w:val="en-us" w:eastAsia="en-us" w:bidi="en-us"/>
      </w:rPr>
    </w:lvl>
  </w:abstractNum>
  <w:abstractNum w:abstractNumId="7">
    <w:multiLevelType w:val="hybridMultilevel"/>
    <w:lvl w:ilvl="0">
      <w:start w:val="0"/>
      <w:numFmt w:val="bullet"/>
      <w:lvlText w:val=""/>
      <w:lvlJc w:val="left"/>
      <w:pPr>
        <w:ind w:left="840" w:hanging="361"/>
      </w:pPr>
      <w:rPr>
        <w:rFonts w:hint="default" w:ascii="Symbol" w:hAnsi="Symbol" w:eastAsia="Symbol" w:cs="Symbol"/>
        <w:w w:val="76"/>
        <w:sz w:val="24"/>
        <w:szCs w:val="24"/>
        <w:lang w:val="en-us" w:eastAsia="en-us" w:bidi="en-us"/>
      </w:rPr>
    </w:lvl>
    <w:lvl w:ilvl="1">
      <w:start w:val="0"/>
      <w:numFmt w:val="bullet"/>
      <w:lvlText w:val="o"/>
      <w:lvlJc w:val="left"/>
      <w:pPr>
        <w:ind w:left="1560" w:hanging="360"/>
      </w:pPr>
      <w:rPr>
        <w:rFonts w:hint="default" w:ascii="Courier New" w:hAnsi="Courier New" w:eastAsia="Courier New" w:cs="Courier New"/>
        <w:w w:val="100"/>
        <w:sz w:val="24"/>
        <w:szCs w:val="24"/>
        <w:lang w:val="en-us" w:eastAsia="en-us" w:bidi="en-us"/>
      </w:rPr>
    </w:lvl>
    <w:lvl w:ilvl="2">
      <w:start w:val="0"/>
      <w:numFmt w:val="bullet"/>
      <w:lvlText w:val=""/>
      <w:lvlJc w:val="left"/>
      <w:pPr>
        <w:ind w:left="2280" w:hanging="360"/>
      </w:pPr>
      <w:rPr>
        <w:rFonts w:hint="default" w:ascii="Wingdings" w:hAnsi="Wingdings" w:eastAsia="Wingdings" w:cs="Wingdings"/>
        <w:w w:val="100"/>
        <w:sz w:val="24"/>
        <w:szCs w:val="24"/>
        <w:lang w:val="en-us" w:eastAsia="en-us" w:bidi="en-us"/>
      </w:rPr>
    </w:lvl>
    <w:lvl w:ilvl="3">
      <w:start w:val="0"/>
      <w:numFmt w:val="bullet"/>
      <w:lvlText w:val="•"/>
      <w:lvlJc w:val="left"/>
      <w:pPr>
        <w:ind w:left="3387" w:hanging="360"/>
      </w:pPr>
      <w:rPr>
        <w:rFonts w:hint="default"/>
        <w:lang w:val="en-us" w:eastAsia="en-us" w:bidi="en-us"/>
      </w:rPr>
    </w:lvl>
    <w:lvl w:ilvl="4">
      <w:start w:val="0"/>
      <w:numFmt w:val="bullet"/>
      <w:lvlText w:val="•"/>
      <w:lvlJc w:val="left"/>
      <w:pPr>
        <w:ind w:left="4495" w:hanging="360"/>
      </w:pPr>
      <w:rPr>
        <w:rFonts w:hint="default"/>
        <w:lang w:val="en-us" w:eastAsia="en-us" w:bidi="en-us"/>
      </w:rPr>
    </w:lvl>
    <w:lvl w:ilvl="5">
      <w:start w:val="0"/>
      <w:numFmt w:val="bullet"/>
      <w:lvlText w:val="•"/>
      <w:lvlJc w:val="left"/>
      <w:pPr>
        <w:ind w:left="5602" w:hanging="360"/>
      </w:pPr>
      <w:rPr>
        <w:rFonts w:hint="default"/>
        <w:lang w:val="en-us" w:eastAsia="en-us" w:bidi="en-us"/>
      </w:rPr>
    </w:lvl>
    <w:lvl w:ilvl="6">
      <w:start w:val="0"/>
      <w:numFmt w:val="bullet"/>
      <w:lvlText w:val="•"/>
      <w:lvlJc w:val="left"/>
      <w:pPr>
        <w:ind w:left="6710" w:hanging="360"/>
      </w:pPr>
      <w:rPr>
        <w:rFonts w:hint="default"/>
        <w:lang w:val="en-us" w:eastAsia="en-us" w:bidi="en-us"/>
      </w:rPr>
    </w:lvl>
    <w:lvl w:ilvl="7">
      <w:start w:val="0"/>
      <w:numFmt w:val="bullet"/>
      <w:lvlText w:val="•"/>
      <w:lvlJc w:val="left"/>
      <w:pPr>
        <w:ind w:left="7817" w:hanging="360"/>
      </w:pPr>
      <w:rPr>
        <w:rFonts w:hint="default"/>
        <w:lang w:val="en-us" w:eastAsia="en-us" w:bidi="en-us"/>
      </w:rPr>
    </w:lvl>
    <w:lvl w:ilvl="8">
      <w:start w:val="0"/>
      <w:numFmt w:val="bullet"/>
      <w:lvlText w:val="•"/>
      <w:lvlJc w:val="left"/>
      <w:pPr>
        <w:ind w:left="8925" w:hanging="360"/>
      </w:pPr>
      <w:rPr>
        <w:rFonts w:hint="default"/>
        <w:lang w:val="en-us" w:eastAsia="en-us" w:bidi="en-us"/>
      </w:rPr>
    </w:lvl>
  </w:abstractNum>
  <w:abstractNum w:abstractNumId="6">
    <w:multiLevelType w:val="hybridMultilevel"/>
    <w:lvl w:ilvl="0">
      <w:start w:val="10"/>
      <w:numFmt w:val="decimal"/>
      <w:lvlText w:val="%1"/>
      <w:lvlJc w:val="left"/>
      <w:pPr>
        <w:ind w:left="1560" w:hanging="720"/>
        <w:jc w:val="left"/>
      </w:pPr>
      <w:rPr>
        <w:rFonts w:hint="default"/>
        <w:lang w:val="en-us" w:eastAsia="en-us" w:bidi="en-us"/>
      </w:rPr>
    </w:lvl>
    <w:lvl w:ilvl="1">
      <w:start w:val="1"/>
      <w:numFmt w:val="decimal"/>
      <w:lvlText w:val="%1.%2"/>
      <w:lvlJc w:val="left"/>
      <w:pPr>
        <w:ind w:left="1560" w:hanging="720"/>
        <w:jc w:val="left"/>
      </w:pPr>
      <w:rPr>
        <w:rFonts w:hint="default" w:ascii="Calibri-Light" w:hAnsi="Calibri-Light" w:eastAsia="Calibri-Light" w:cs="Calibri-Light"/>
        <w:spacing w:val="-25"/>
        <w:w w:val="100"/>
        <w:sz w:val="24"/>
        <w:szCs w:val="24"/>
        <w:lang w:val="en-us" w:eastAsia="en-us" w:bidi="en-us"/>
      </w:rPr>
    </w:lvl>
    <w:lvl w:ilvl="2">
      <w:start w:val="0"/>
      <w:numFmt w:val="bullet"/>
      <w:lvlText w:val="•"/>
      <w:lvlJc w:val="left"/>
      <w:pPr>
        <w:ind w:left="3476" w:hanging="720"/>
      </w:pPr>
      <w:rPr>
        <w:rFonts w:hint="default"/>
        <w:lang w:val="en-us" w:eastAsia="en-us" w:bidi="en-us"/>
      </w:rPr>
    </w:lvl>
    <w:lvl w:ilvl="3">
      <w:start w:val="0"/>
      <w:numFmt w:val="bullet"/>
      <w:lvlText w:val="•"/>
      <w:lvlJc w:val="left"/>
      <w:pPr>
        <w:ind w:left="4434" w:hanging="720"/>
      </w:pPr>
      <w:rPr>
        <w:rFonts w:hint="default"/>
        <w:lang w:val="en-us" w:eastAsia="en-us" w:bidi="en-us"/>
      </w:rPr>
    </w:lvl>
    <w:lvl w:ilvl="4">
      <w:start w:val="0"/>
      <w:numFmt w:val="bullet"/>
      <w:lvlText w:val="•"/>
      <w:lvlJc w:val="left"/>
      <w:pPr>
        <w:ind w:left="5392" w:hanging="720"/>
      </w:pPr>
      <w:rPr>
        <w:rFonts w:hint="default"/>
        <w:lang w:val="en-us" w:eastAsia="en-us" w:bidi="en-us"/>
      </w:rPr>
    </w:lvl>
    <w:lvl w:ilvl="5">
      <w:start w:val="0"/>
      <w:numFmt w:val="bullet"/>
      <w:lvlText w:val="•"/>
      <w:lvlJc w:val="left"/>
      <w:pPr>
        <w:ind w:left="6350" w:hanging="720"/>
      </w:pPr>
      <w:rPr>
        <w:rFonts w:hint="default"/>
        <w:lang w:val="en-us" w:eastAsia="en-us" w:bidi="en-us"/>
      </w:rPr>
    </w:lvl>
    <w:lvl w:ilvl="6">
      <w:start w:val="0"/>
      <w:numFmt w:val="bullet"/>
      <w:lvlText w:val="•"/>
      <w:lvlJc w:val="left"/>
      <w:pPr>
        <w:ind w:left="7308" w:hanging="720"/>
      </w:pPr>
      <w:rPr>
        <w:rFonts w:hint="default"/>
        <w:lang w:val="en-us" w:eastAsia="en-us" w:bidi="en-us"/>
      </w:rPr>
    </w:lvl>
    <w:lvl w:ilvl="7">
      <w:start w:val="0"/>
      <w:numFmt w:val="bullet"/>
      <w:lvlText w:val="•"/>
      <w:lvlJc w:val="left"/>
      <w:pPr>
        <w:ind w:left="8266" w:hanging="720"/>
      </w:pPr>
      <w:rPr>
        <w:rFonts w:hint="default"/>
        <w:lang w:val="en-us" w:eastAsia="en-us" w:bidi="en-us"/>
      </w:rPr>
    </w:lvl>
    <w:lvl w:ilvl="8">
      <w:start w:val="0"/>
      <w:numFmt w:val="bullet"/>
      <w:lvlText w:val="•"/>
      <w:lvlJc w:val="left"/>
      <w:pPr>
        <w:ind w:left="9224" w:hanging="720"/>
      </w:pPr>
      <w:rPr>
        <w:rFonts w:hint="default"/>
        <w:lang w:val="en-us" w:eastAsia="en-us" w:bidi="en-us"/>
      </w:rPr>
    </w:lvl>
  </w:abstractNum>
  <w:abstractNum w:abstractNumId="5">
    <w:multiLevelType w:val="hybridMultilevel"/>
    <w:lvl w:ilvl="0">
      <w:start w:val="1"/>
      <w:numFmt w:val="decimal"/>
      <w:lvlText w:val="%1."/>
      <w:lvlJc w:val="left"/>
      <w:pPr>
        <w:ind w:left="1795" w:hanging="236"/>
        <w:jc w:val="right"/>
      </w:pPr>
      <w:rPr>
        <w:rFonts w:hint="default" w:ascii="Calibri-Light" w:hAnsi="Calibri-Light" w:eastAsia="Calibri-Light" w:cs="Calibri-Light"/>
        <w:w w:val="100"/>
        <w:sz w:val="24"/>
        <w:szCs w:val="24"/>
        <w:lang w:val="en-us" w:eastAsia="en-us" w:bidi="en-us"/>
      </w:rPr>
    </w:lvl>
    <w:lvl w:ilvl="1">
      <w:start w:val="0"/>
      <w:numFmt w:val="bullet"/>
      <w:lvlText w:val="•"/>
      <w:lvlJc w:val="left"/>
      <w:pPr>
        <w:ind w:left="2734" w:hanging="236"/>
      </w:pPr>
      <w:rPr>
        <w:rFonts w:hint="default"/>
        <w:lang w:val="en-us" w:eastAsia="en-us" w:bidi="en-us"/>
      </w:rPr>
    </w:lvl>
    <w:lvl w:ilvl="2">
      <w:start w:val="0"/>
      <w:numFmt w:val="bullet"/>
      <w:lvlText w:val="•"/>
      <w:lvlJc w:val="left"/>
      <w:pPr>
        <w:ind w:left="3668" w:hanging="236"/>
      </w:pPr>
      <w:rPr>
        <w:rFonts w:hint="default"/>
        <w:lang w:val="en-us" w:eastAsia="en-us" w:bidi="en-us"/>
      </w:rPr>
    </w:lvl>
    <w:lvl w:ilvl="3">
      <w:start w:val="0"/>
      <w:numFmt w:val="bullet"/>
      <w:lvlText w:val="•"/>
      <w:lvlJc w:val="left"/>
      <w:pPr>
        <w:ind w:left="4602" w:hanging="236"/>
      </w:pPr>
      <w:rPr>
        <w:rFonts w:hint="default"/>
        <w:lang w:val="en-us" w:eastAsia="en-us" w:bidi="en-us"/>
      </w:rPr>
    </w:lvl>
    <w:lvl w:ilvl="4">
      <w:start w:val="0"/>
      <w:numFmt w:val="bullet"/>
      <w:lvlText w:val="•"/>
      <w:lvlJc w:val="left"/>
      <w:pPr>
        <w:ind w:left="5536" w:hanging="236"/>
      </w:pPr>
      <w:rPr>
        <w:rFonts w:hint="default"/>
        <w:lang w:val="en-us" w:eastAsia="en-us" w:bidi="en-us"/>
      </w:rPr>
    </w:lvl>
    <w:lvl w:ilvl="5">
      <w:start w:val="0"/>
      <w:numFmt w:val="bullet"/>
      <w:lvlText w:val="•"/>
      <w:lvlJc w:val="left"/>
      <w:pPr>
        <w:ind w:left="6470" w:hanging="236"/>
      </w:pPr>
      <w:rPr>
        <w:rFonts w:hint="default"/>
        <w:lang w:val="en-us" w:eastAsia="en-us" w:bidi="en-us"/>
      </w:rPr>
    </w:lvl>
    <w:lvl w:ilvl="6">
      <w:start w:val="0"/>
      <w:numFmt w:val="bullet"/>
      <w:lvlText w:val="•"/>
      <w:lvlJc w:val="left"/>
      <w:pPr>
        <w:ind w:left="7404" w:hanging="236"/>
      </w:pPr>
      <w:rPr>
        <w:rFonts w:hint="default"/>
        <w:lang w:val="en-us" w:eastAsia="en-us" w:bidi="en-us"/>
      </w:rPr>
    </w:lvl>
    <w:lvl w:ilvl="7">
      <w:start w:val="0"/>
      <w:numFmt w:val="bullet"/>
      <w:lvlText w:val="•"/>
      <w:lvlJc w:val="left"/>
      <w:pPr>
        <w:ind w:left="8338" w:hanging="236"/>
      </w:pPr>
      <w:rPr>
        <w:rFonts w:hint="default"/>
        <w:lang w:val="en-us" w:eastAsia="en-us" w:bidi="en-us"/>
      </w:rPr>
    </w:lvl>
    <w:lvl w:ilvl="8">
      <w:start w:val="0"/>
      <w:numFmt w:val="bullet"/>
      <w:lvlText w:val="•"/>
      <w:lvlJc w:val="left"/>
      <w:pPr>
        <w:ind w:left="9272" w:hanging="236"/>
      </w:pPr>
      <w:rPr>
        <w:rFonts w:hint="default"/>
        <w:lang w:val="en-us" w:eastAsia="en-us" w:bidi="en-us"/>
      </w:rPr>
    </w:lvl>
  </w:abstractNum>
  <w:abstractNum w:abstractNumId="4">
    <w:multiLevelType w:val="hybridMultilevel"/>
    <w:lvl w:ilvl="0">
      <w:start w:val="9"/>
      <w:numFmt w:val="decimal"/>
      <w:lvlText w:val="%1"/>
      <w:lvlJc w:val="left"/>
      <w:pPr>
        <w:ind w:left="1704" w:hanging="720"/>
        <w:jc w:val="left"/>
      </w:pPr>
      <w:rPr>
        <w:rFonts w:hint="default"/>
        <w:lang w:val="en-us" w:eastAsia="en-us" w:bidi="en-us"/>
      </w:rPr>
    </w:lvl>
    <w:lvl w:ilvl="1">
      <w:start w:val="1"/>
      <w:numFmt w:val="decimal"/>
      <w:lvlText w:val="%1.%2"/>
      <w:lvlJc w:val="left"/>
      <w:pPr>
        <w:ind w:left="1704" w:hanging="720"/>
        <w:jc w:val="left"/>
      </w:pPr>
      <w:rPr>
        <w:rFonts w:hint="default" w:ascii="Calibri-Light" w:hAnsi="Calibri-Light" w:eastAsia="Calibri-Light" w:cs="Calibri-Light"/>
        <w:spacing w:val="-2"/>
        <w:w w:val="100"/>
        <w:sz w:val="24"/>
        <w:szCs w:val="24"/>
        <w:lang w:val="en-us" w:eastAsia="en-us" w:bidi="en-us"/>
      </w:rPr>
    </w:lvl>
    <w:lvl w:ilvl="2">
      <w:start w:val="1"/>
      <w:numFmt w:val="lowerLetter"/>
      <w:lvlText w:val="%3."/>
      <w:lvlJc w:val="left"/>
      <w:pPr>
        <w:ind w:left="2424" w:hanging="360"/>
        <w:jc w:val="left"/>
      </w:pPr>
      <w:rPr>
        <w:rFonts w:hint="default" w:ascii="Calibri-Light" w:hAnsi="Calibri-Light" w:eastAsia="Calibri-Light" w:cs="Calibri-Light"/>
        <w:spacing w:val="-2"/>
        <w:w w:val="100"/>
        <w:sz w:val="24"/>
        <w:szCs w:val="24"/>
        <w:lang w:val="en-us" w:eastAsia="en-us" w:bidi="en-us"/>
      </w:rPr>
    </w:lvl>
    <w:lvl w:ilvl="3">
      <w:start w:val="0"/>
      <w:numFmt w:val="bullet"/>
      <w:lvlText w:val="•"/>
      <w:lvlJc w:val="left"/>
      <w:pPr>
        <w:ind w:left="4357" w:hanging="360"/>
      </w:pPr>
      <w:rPr>
        <w:rFonts w:hint="default"/>
        <w:lang w:val="en-us" w:eastAsia="en-us" w:bidi="en-us"/>
      </w:rPr>
    </w:lvl>
    <w:lvl w:ilvl="4">
      <w:start w:val="0"/>
      <w:numFmt w:val="bullet"/>
      <w:lvlText w:val="•"/>
      <w:lvlJc w:val="left"/>
      <w:pPr>
        <w:ind w:left="5326" w:hanging="360"/>
      </w:pPr>
      <w:rPr>
        <w:rFonts w:hint="default"/>
        <w:lang w:val="en-us" w:eastAsia="en-us" w:bidi="en-us"/>
      </w:rPr>
    </w:lvl>
    <w:lvl w:ilvl="5">
      <w:start w:val="0"/>
      <w:numFmt w:val="bullet"/>
      <w:lvlText w:val="•"/>
      <w:lvlJc w:val="left"/>
      <w:pPr>
        <w:ind w:left="6295" w:hanging="360"/>
      </w:pPr>
      <w:rPr>
        <w:rFonts w:hint="default"/>
        <w:lang w:val="en-us" w:eastAsia="en-us" w:bidi="en-us"/>
      </w:rPr>
    </w:lvl>
    <w:lvl w:ilvl="6">
      <w:start w:val="0"/>
      <w:numFmt w:val="bullet"/>
      <w:lvlText w:val="•"/>
      <w:lvlJc w:val="left"/>
      <w:pPr>
        <w:ind w:left="7264" w:hanging="360"/>
      </w:pPr>
      <w:rPr>
        <w:rFonts w:hint="default"/>
        <w:lang w:val="en-us" w:eastAsia="en-us" w:bidi="en-us"/>
      </w:rPr>
    </w:lvl>
    <w:lvl w:ilvl="7">
      <w:start w:val="0"/>
      <w:numFmt w:val="bullet"/>
      <w:lvlText w:val="•"/>
      <w:lvlJc w:val="left"/>
      <w:pPr>
        <w:ind w:left="8233" w:hanging="360"/>
      </w:pPr>
      <w:rPr>
        <w:rFonts w:hint="default"/>
        <w:lang w:val="en-us" w:eastAsia="en-us" w:bidi="en-us"/>
      </w:rPr>
    </w:lvl>
    <w:lvl w:ilvl="8">
      <w:start w:val="0"/>
      <w:numFmt w:val="bullet"/>
      <w:lvlText w:val="•"/>
      <w:lvlJc w:val="left"/>
      <w:pPr>
        <w:ind w:left="9202" w:hanging="360"/>
      </w:pPr>
      <w:rPr>
        <w:rFonts w:hint="default"/>
        <w:lang w:val="en-us" w:eastAsia="en-us" w:bidi="en-us"/>
      </w:rPr>
    </w:lvl>
  </w:abstractNum>
  <w:abstractNum w:abstractNumId="3">
    <w:multiLevelType w:val="hybridMultilevel"/>
    <w:lvl w:ilvl="0">
      <w:start w:val="0"/>
      <w:numFmt w:val="bullet"/>
      <w:lvlText w:val=""/>
      <w:lvlJc w:val="left"/>
      <w:pPr>
        <w:ind w:left="2280" w:hanging="360"/>
      </w:pPr>
      <w:rPr>
        <w:rFonts w:hint="default" w:ascii="Symbol" w:hAnsi="Symbol" w:eastAsia="Symbol" w:cs="Symbol"/>
        <w:w w:val="76"/>
        <w:sz w:val="24"/>
        <w:szCs w:val="24"/>
        <w:lang w:val="en-us" w:eastAsia="en-us" w:bidi="en-us"/>
      </w:rPr>
    </w:lvl>
    <w:lvl w:ilvl="1">
      <w:start w:val="0"/>
      <w:numFmt w:val="bullet"/>
      <w:lvlText w:val="•"/>
      <w:lvlJc w:val="left"/>
      <w:pPr>
        <w:ind w:left="3166" w:hanging="360"/>
      </w:pPr>
      <w:rPr>
        <w:rFonts w:hint="default"/>
        <w:lang w:val="en-us" w:eastAsia="en-us" w:bidi="en-us"/>
      </w:rPr>
    </w:lvl>
    <w:lvl w:ilvl="2">
      <w:start w:val="0"/>
      <w:numFmt w:val="bullet"/>
      <w:lvlText w:val="•"/>
      <w:lvlJc w:val="left"/>
      <w:pPr>
        <w:ind w:left="4052" w:hanging="360"/>
      </w:pPr>
      <w:rPr>
        <w:rFonts w:hint="default"/>
        <w:lang w:val="en-us" w:eastAsia="en-us" w:bidi="en-us"/>
      </w:rPr>
    </w:lvl>
    <w:lvl w:ilvl="3">
      <w:start w:val="0"/>
      <w:numFmt w:val="bullet"/>
      <w:lvlText w:val="•"/>
      <w:lvlJc w:val="left"/>
      <w:pPr>
        <w:ind w:left="4938" w:hanging="360"/>
      </w:pPr>
      <w:rPr>
        <w:rFonts w:hint="default"/>
        <w:lang w:val="en-us" w:eastAsia="en-us" w:bidi="en-us"/>
      </w:rPr>
    </w:lvl>
    <w:lvl w:ilvl="4">
      <w:start w:val="0"/>
      <w:numFmt w:val="bullet"/>
      <w:lvlText w:val="•"/>
      <w:lvlJc w:val="left"/>
      <w:pPr>
        <w:ind w:left="5824" w:hanging="360"/>
      </w:pPr>
      <w:rPr>
        <w:rFonts w:hint="default"/>
        <w:lang w:val="en-us" w:eastAsia="en-us" w:bidi="en-us"/>
      </w:rPr>
    </w:lvl>
    <w:lvl w:ilvl="5">
      <w:start w:val="0"/>
      <w:numFmt w:val="bullet"/>
      <w:lvlText w:val="•"/>
      <w:lvlJc w:val="left"/>
      <w:pPr>
        <w:ind w:left="6710" w:hanging="360"/>
      </w:pPr>
      <w:rPr>
        <w:rFonts w:hint="default"/>
        <w:lang w:val="en-us" w:eastAsia="en-us" w:bidi="en-us"/>
      </w:rPr>
    </w:lvl>
    <w:lvl w:ilvl="6">
      <w:start w:val="0"/>
      <w:numFmt w:val="bullet"/>
      <w:lvlText w:val="•"/>
      <w:lvlJc w:val="left"/>
      <w:pPr>
        <w:ind w:left="7596" w:hanging="360"/>
      </w:pPr>
      <w:rPr>
        <w:rFonts w:hint="default"/>
        <w:lang w:val="en-us" w:eastAsia="en-us" w:bidi="en-us"/>
      </w:rPr>
    </w:lvl>
    <w:lvl w:ilvl="7">
      <w:start w:val="0"/>
      <w:numFmt w:val="bullet"/>
      <w:lvlText w:val="•"/>
      <w:lvlJc w:val="left"/>
      <w:pPr>
        <w:ind w:left="8482" w:hanging="360"/>
      </w:pPr>
      <w:rPr>
        <w:rFonts w:hint="default"/>
        <w:lang w:val="en-us" w:eastAsia="en-us" w:bidi="en-us"/>
      </w:rPr>
    </w:lvl>
    <w:lvl w:ilvl="8">
      <w:start w:val="0"/>
      <w:numFmt w:val="bullet"/>
      <w:lvlText w:val="•"/>
      <w:lvlJc w:val="left"/>
      <w:pPr>
        <w:ind w:left="9368" w:hanging="360"/>
      </w:pPr>
      <w:rPr>
        <w:rFonts w:hint="default"/>
        <w:lang w:val="en-us" w:eastAsia="en-us" w:bidi="en-us"/>
      </w:rPr>
    </w:lvl>
  </w:abstractNum>
  <w:abstractNum w:abstractNumId="2">
    <w:multiLevelType w:val="hybridMultilevel"/>
    <w:lvl w:ilvl="0">
      <w:start w:val="1"/>
      <w:numFmt w:val="upperLetter"/>
      <w:lvlText w:val="%1."/>
      <w:lvlJc w:val="left"/>
      <w:pPr>
        <w:ind w:left="2206" w:hanging="982"/>
        <w:jc w:val="right"/>
      </w:pPr>
      <w:rPr>
        <w:rFonts w:hint="default" w:ascii="Calibri-Light" w:hAnsi="Calibri-Light" w:eastAsia="Calibri-Light" w:cs="Calibri-Light"/>
        <w:spacing w:val="-6"/>
        <w:w w:val="100"/>
        <w:sz w:val="24"/>
        <w:szCs w:val="24"/>
        <w:lang w:val="en-us" w:eastAsia="en-us" w:bidi="en-us"/>
      </w:rPr>
    </w:lvl>
    <w:lvl w:ilvl="1">
      <w:start w:val="1"/>
      <w:numFmt w:val="decimal"/>
      <w:lvlText w:val="%2."/>
      <w:lvlJc w:val="left"/>
      <w:pPr>
        <w:ind w:left="2664" w:hanging="480"/>
        <w:jc w:val="left"/>
      </w:pPr>
      <w:rPr>
        <w:rFonts w:hint="default" w:ascii="Calibri-Light" w:hAnsi="Calibri-Light" w:eastAsia="Calibri-Light" w:cs="Calibri-Light"/>
        <w:spacing w:val="-27"/>
        <w:w w:val="100"/>
        <w:sz w:val="24"/>
        <w:szCs w:val="24"/>
        <w:lang w:val="en-us" w:eastAsia="en-us" w:bidi="en-us"/>
      </w:rPr>
    </w:lvl>
    <w:lvl w:ilvl="2">
      <w:start w:val="1"/>
      <w:numFmt w:val="lowerLetter"/>
      <w:lvlText w:val="(%3)"/>
      <w:lvlJc w:val="left"/>
      <w:pPr>
        <w:ind w:left="3331" w:hanging="396"/>
        <w:jc w:val="left"/>
      </w:pPr>
      <w:rPr>
        <w:rFonts w:hint="default" w:ascii="Calibri-Light" w:hAnsi="Calibri-Light" w:eastAsia="Calibri-Light" w:cs="Calibri-Light"/>
        <w:spacing w:val="-24"/>
        <w:w w:val="100"/>
        <w:sz w:val="24"/>
        <w:szCs w:val="24"/>
        <w:lang w:val="en-us" w:eastAsia="en-us" w:bidi="en-us"/>
      </w:rPr>
    </w:lvl>
    <w:lvl w:ilvl="3">
      <w:start w:val="1"/>
      <w:numFmt w:val="lowerRoman"/>
      <w:lvlText w:val="(%4)"/>
      <w:lvlJc w:val="left"/>
      <w:pPr>
        <w:ind w:left="4411" w:hanging="307"/>
        <w:jc w:val="left"/>
      </w:pPr>
      <w:rPr>
        <w:rFonts w:hint="default" w:ascii="Calibri-Light" w:hAnsi="Calibri-Light" w:eastAsia="Calibri-Light" w:cs="Calibri-Light"/>
        <w:spacing w:val="-2"/>
        <w:w w:val="100"/>
        <w:sz w:val="24"/>
        <w:szCs w:val="24"/>
        <w:lang w:val="en-us" w:eastAsia="en-us" w:bidi="en-us"/>
      </w:rPr>
    </w:lvl>
    <w:lvl w:ilvl="4">
      <w:start w:val="0"/>
      <w:numFmt w:val="bullet"/>
      <w:lvlText w:val="•"/>
      <w:lvlJc w:val="left"/>
      <w:pPr>
        <w:ind w:left="4420" w:hanging="307"/>
      </w:pPr>
      <w:rPr>
        <w:rFonts w:hint="default"/>
        <w:lang w:val="en-us" w:eastAsia="en-us" w:bidi="en-us"/>
      </w:rPr>
    </w:lvl>
    <w:lvl w:ilvl="5">
      <w:start w:val="0"/>
      <w:numFmt w:val="bullet"/>
      <w:lvlText w:val="•"/>
      <w:lvlJc w:val="left"/>
      <w:pPr>
        <w:ind w:left="5540" w:hanging="307"/>
      </w:pPr>
      <w:rPr>
        <w:rFonts w:hint="default"/>
        <w:lang w:val="en-us" w:eastAsia="en-us" w:bidi="en-us"/>
      </w:rPr>
    </w:lvl>
    <w:lvl w:ilvl="6">
      <w:start w:val="0"/>
      <w:numFmt w:val="bullet"/>
      <w:lvlText w:val="•"/>
      <w:lvlJc w:val="left"/>
      <w:pPr>
        <w:ind w:left="6660" w:hanging="307"/>
      </w:pPr>
      <w:rPr>
        <w:rFonts w:hint="default"/>
        <w:lang w:val="en-us" w:eastAsia="en-us" w:bidi="en-us"/>
      </w:rPr>
    </w:lvl>
    <w:lvl w:ilvl="7">
      <w:start w:val="0"/>
      <w:numFmt w:val="bullet"/>
      <w:lvlText w:val="•"/>
      <w:lvlJc w:val="left"/>
      <w:pPr>
        <w:ind w:left="7780" w:hanging="307"/>
      </w:pPr>
      <w:rPr>
        <w:rFonts w:hint="default"/>
        <w:lang w:val="en-us" w:eastAsia="en-us" w:bidi="en-us"/>
      </w:rPr>
    </w:lvl>
    <w:lvl w:ilvl="8">
      <w:start w:val="0"/>
      <w:numFmt w:val="bullet"/>
      <w:lvlText w:val="•"/>
      <w:lvlJc w:val="left"/>
      <w:pPr>
        <w:ind w:left="8900" w:hanging="307"/>
      </w:pPr>
      <w:rPr>
        <w:rFonts w:hint="default"/>
        <w:lang w:val="en-us" w:eastAsia="en-us" w:bidi="en-us"/>
      </w:rPr>
    </w:lvl>
  </w:abstractNum>
  <w:abstractNum w:abstractNumId="1">
    <w:multiLevelType w:val="hybridMultilevel"/>
    <w:lvl w:ilvl="0">
      <w:start w:val="1"/>
      <w:numFmt w:val="decimal"/>
      <w:lvlText w:val="%1."/>
      <w:lvlJc w:val="left"/>
      <w:pPr>
        <w:ind w:left="840" w:hanging="361"/>
        <w:jc w:val="left"/>
      </w:pPr>
      <w:rPr>
        <w:rFonts w:hint="default" w:ascii="Calibri-Light" w:hAnsi="Calibri-Light" w:eastAsia="Calibri-Light" w:cs="Calibri-Light"/>
        <w:spacing w:val="-20"/>
        <w:w w:val="100"/>
        <w:sz w:val="24"/>
        <w:szCs w:val="24"/>
        <w:lang w:val="en-us" w:eastAsia="en-us" w:bidi="en-us"/>
      </w:rPr>
    </w:lvl>
    <w:lvl w:ilvl="1">
      <w:start w:val="0"/>
      <w:numFmt w:val="bullet"/>
      <w:lvlText w:val="•"/>
      <w:lvlJc w:val="left"/>
      <w:pPr>
        <w:ind w:left="1870" w:hanging="361"/>
      </w:pPr>
      <w:rPr>
        <w:rFonts w:hint="default"/>
        <w:lang w:val="en-us" w:eastAsia="en-us" w:bidi="en-us"/>
      </w:rPr>
    </w:lvl>
    <w:lvl w:ilvl="2">
      <w:start w:val="0"/>
      <w:numFmt w:val="bullet"/>
      <w:lvlText w:val="•"/>
      <w:lvlJc w:val="left"/>
      <w:pPr>
        <w:ind w:left="2900" w:hanging="361"/>
      </w:pPr>
      <w:rPr>
        <w:rFonts w:hint="default"/>
        <w:lang w:val="en-us" w:eastAsia="en-us" w:bidi="en-us"/>
      </w:rPr>
    </w:lvl>
    <w:lvl w:ilvl="3">
      <w:start w:val="0"/>
      <w:numFmt w:val="bullet"/>
      <w:lvlText w:val="•"/>
      <w:lvlJc w:val="left"/>
      <w:pPr>
        <w:ind w:left="3930" w:hanging="361"/>
      </w:pPr>
      <w:rPr>
        <w:rFonts w:hint="default"/>
        <w:lang w:val="en-us" w:eastAsia="en-us" w:bidi="en-us"/>
      </w:rPr>
    </w:lvl>
    <w:lvl w:ilvl="4">
      <w:start w:val="0"/>
      <w:numFmt w:val="bullet"/>
      <w:lvlText w:val="•"/>
      <w:lvlJc w:val="left"/>
      <w:pPr>
        <w:ind w:left="4960" w:hanging="361"/>
      </w:pPr>
      <w:rPr>
        <w:rFonts w:hint="default"/>
        <w:lang w:val="en-us" w:eastAsia="en-us" w:bidi="en-us"/>
      </w:rPr>
    </w:lvl>
    <w:lvl w:ilvl="5">
      <w:start w:val="0"/>
      <w:numFmt w:val="bullet"/>
      <w:lvlText w:val="•"/>
      <w:lvlJc w:val="left"/>
      <w:pPr>
        <w:ind w:left="5990" w:hanging="361"/>
      </w:pPr>
      <w:rPr>
        <w:rFonts w:hint="default"/>
        <w:lang w:val="en-us" w:eastAsia="en-us" w:bidi="en-us"/>
      </w:rPr>
    </w:lvl>
    <w:lvl w:ilvl="6">
      <w:start w:val="0"/>
      <w:numFmt w:val="bullet"/>
      <w:lvlText w:val="•"/>
      <w:lvlJc w:val="left"/>
      <w:pPr>
        <w:ind w:left="7020" w:hanging="361"/>
      </w:pPr>
      <w:rPr>
        <w:rFonts w:hint="default"/>
        <w:lang w:val="en-us" w:eastAsia="en-us" w:bidi="en-us"/>
      </w:rPr>
    </w:lvl>
    <w:lvl w:ilvl="7">
      <w:start w:val="0"/>
      <w:numFmt w:val="bullet"/>
      <w:lvlText w:val="•"/>
      <w:lvlJc w:val="left"/>
      <w:pPr>
        <w:ind w:left="8050" w:hanging="361"/>
      </w:pPr>
      <w:rPr>
        <w:rFonts w:hint="default"/>
        <w:lang w:val="en-us" w:eastAsia="en-us" w:bidi="en-us"/>
      </w:rPr>
    </w:lvl>
    <w:lvl w:ilvl="8">
      <w:start w:val="0"/>
      <w:numFmt w:val="bullet"/>
      <w:lvlText w:val="•"/>
      <w:lvlJc w:val="left"/>
      <w:pPr>
        <w:ind w:left="9080" w:hanging="361"/>
      </w:pPr>
      <w:rPr>
        <w:rFonts w:hint="default"/>
        <w:lang w:val="en-us" w:eastAsia="en-us" w:bidi="en-us"/>
      </w:rPr>
    </w:lvl>
  </w:abstractNum>
  <w:abstractNum w:abstractNumId="0">
    <w:multiLevelType w:val="hybridMultilevel"/>
    <w:lvl w:ilvl="0">
      <w:start w:val="1"/>
      <w:numFmt w:val="upperLetter"/>
      <w:lvlText w:val="%1."/>
      <w:lvlJc w:val="left"/>
      <w:pPr>
        <w:ind w:left="777" w:hanging="298"/>
        <w:jc w:val="right"/>
      </w:pPr>
      <w:rPr>
        <w:rFonts w:hint="default" w:ascii="Calibri-Light" w:hAnsi="Calibri-Light" w:eastAsia="Calibri-Light" w:cs="Calibri-Light"/>
        <w:spacing w:val="-5"/>
        <w:w w:val="100"/>
        <w:sz w:val="24"/>
        <w:szCs w:val="24"/>
        <w:lang w:val="en-us" w:eastAsia="en-us" w:bidi="en-us"/>
      </w:rPr>
    </w:lvl>
    <w:lvl w:ilvl="1">
      <w:start w:val="1"/>
      <w:numFmt w:val="decimal"/>
      <w:lvlText w:val="%2."/>
      <w:lvlJc w:val="left"/>
      <w:pPr>
        <w:ind w:left="571" w:hanging="360"/>
        <w:jc w:val="left"/>
      </w:pPr>
      <w:rPr>
        <w:rFonts w:hint="default" w:ascii="Calibri-Light" w:hAnsi="Calibri-Light" w:eastAsia="Calibri-Light" w:cs="Calibri-Light"/>
        <w:spacing w:val="-23"/>
        <w:w w:val="100"/>
        <w:sz w:val="24"/>
        <w:szCs w:val="24"/>
        <w:lang w:val="en-us" w:eastAsia="en-us" w:bidi="en-us"/>
      </w:rPr>
    </w:lvl>
    <w:lvl w:ilvl="2">
      <w:start w:val="1"/>
      <w:numFmt w:val="decimal"/>
      <w:lvlText w:val="%3."/>
      <w:lvlJc w:val="left"/>
      <w:pPr>
        <w:ind w:left="840" w:hanging="361"/>
        <w:jc w:val="left"/>
      </w:pPr>
      <w:rPr>
        <w:rFonts w:hint="default" w:ascii="Calibri-Light" w:hAnsi="Calibri-Light" w:eastAsia="Calibri-Light" w:cs="Calibri-Light"/>
        <w:spacing w:val="-4"/>
        <w:w w:val="100"/>
        <w:sz w:val="24"/>
        <w:szCs w:val="24"/>
        <w:lang w:val="en-us" w:eastAsia="en-us" w:bidi="en-us"/>
      </w:rPr>
    </w:lvl>
    <w:lvl w:ilvl="3">
      <w:start w:val="0"/>
      <w:numFmt w:val="bullet"/>
      <w:lvlText w:val=""/>
      <w:lvlJc w:val="left"/>
      <w:pPr>
        <w:ind w:left="1560" w:hanging="360"/>
      </w:pPr>
      <w:rPr>
        <w:rFonts w:hint="default" w:ascii="Symbol" w:hAnsi="Symbol" w:eastAsia="Symbol" w:cs="Symbol"/>
        <w:w w:val="76"/>
        <w:sz w:val="24"/>
        <w:szCs w:val="24"/>
        <w:lang w:val="en-us" w:eastAsia="en-us" w:bidi="en-us"/>
      </w:rPr>
    </w:lvl>
    <w:lvl w:ilvl="4">
      <w:start w:val="0"/>
      <w:numFmt w:val="bullet"/>
      <w:lvlText w:val="•"/>
      <w:lvlJc w:val="left"/>
      <w:pPr>
        <w:ind w:left="2928" w:hanging="360"/>
      </w:pPr>
      <w:rPr>
        <w:rFonts w:hint="default"/>
        <w:lang w:val="en-us" w:eastAsia="en-us" w:bidi="en-us"/>
      </w:rPr>
    </w:lvl>
    <w:lvl w:ilvl="5">
      <w:start w:val="0"/>
      <w:numFmt w:val="bullet"/>
      <w:lvlText w:val="•"/>
      <w:lvlJc w:val="left"/>
      <w:pPr>
        <w:ind w:left="4297" w:hanging="360"/>
      </w:pPr>
      <w:rPr>
        <w:rFonts w:hint="default"/>
        <w:lang w:val="en-us" w:eastAsia="en-us" w:bidi="en-us"/>
      </w:rPr>
    </w:lvl>
    <w:lvl w:ilvl="6">
      <w:start w:val="0"/>
      <w:numFmt w:val="bullet"/>
      <w:lvlText w:val="•"/>
      <w:lvlJc w:val="left"/>
      <w:pPr>
        <w:ind w:left="5665" w:hanging="360"/>
      </w:pPr>
      <w:rPr>
        <w:rFonts w:hint="default"/>
        <w:lang w:val="en-us" w:eastAsia="en-us" w:bidi="en-us"/>
      </w:rPr>
    </w:lvl>
    <w:lvl w:ilvl="7">
      <w:start w:val="0"/>
      <w:numFmt w:val="bullet"/>
      <w:lvlText w:val="•"/>
      <w:lvlJc w:val="left"/>
      <w:pPr>
        <w:ind w:left="7034" w:hanging="360"/>
      </w:pPr>
      <w:rPr>
        <w:rFonts w:hint="default"/>
        <w:lang w:val="en-us" w:eastAsia="en-us" w:bidi="en-us"/>
      </w:rPr>
    </w:lvl>
    <w:lvl w:ilvl="8">
      <w:start w:val="0"/>
      <w:numFmt w:val="bullet"/>
      <w:lvlText w:val="•"/>
      <w:lvlJc w:val="left"/>
      <w:pPr>
        <w:ind w:left="8402" w:hanging="360"/>
      </w:pPr>
      <w:rPr>
        <w:rFonts w:hint="default"/>
        <w:lang w:val="en-us" w:eastAsia="en-us" w:bidi="en-u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Light" w:hAnsi="Calibri-Light" w:eastAsia="Calibri-Light" w:cs="Calibri-Light"/>
      <w:lang w:val="en-us" w:eastAsia="en-us" w:bidi="en-us"/>
    </w:rPr>
  </w:style>
  <w:style w:styleId="BodyText" w:type="paragraph">
    <w:name w:val="Body Text"/>
    <w:basedOn w:val="Normal"/>
    <w:uiPriority w:val="1"/>
    <w:qFormat/>
    <w:pPr/>
    <w:rPr>
      <w:rFonts w:ascii="Calibri-Light" w:hAnsi="Calibri-Light" w:eastAsia="Calibri-Light" w:cs="Calibri-Light"/>
      <w:sz w:val="24"/>
      <w:szCs w:val="24"/>
      <w:lang w:val="en-us" w:eastAsia="en-us" w:bidi="en-us"/>
    </w:rPr>
  </w:style>
  <w:style w:styleId="ListParagraph" w:type="paragraph">
    <w:name w:val="List Paragraph"/>
    <w:basedOn w:val="Normal"/>
    <w:uiPriority w:val="1"/>
    <w:qFormat/>
    <w:pPr>
      <w:ind w:left="840" w:hanging="360"/>
    </w:pPr>
    <w:rPr>
      <w:rFonts w:ascii="Calibri-Light" w:hAnsi="Calibri-Light" w:eastAsia="Calibri-Light" w:cs="Calibri-Light"/>
      <w:lang w:val="en-us" w:eastAsia="en-us" w:bidi="en-us"/>
    </w:rPr>
  </w:style>
  <w:style w:styleId="TableParagraph" w:type="paragraph">
    <w:name w:val="Table Paragraph"/>
    <w:basedOn w:val="Normal"/>
    <w:uiPriority w:val="1"/>
    <w:qFormat/>
    <w:pPr>
      <w:ind w:left="465"/>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pmm.missouri.edu/" TargetMode="External"/><Relationship Id="rId7" Type="http://schemas.openxmlformats.org/officeDocument/2006/relationships/hyperlink" Target="mailto:higginsdj@umsystem.edu"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www.oeo.mo.gov/" TargetMode="External"/><Relationship Id="rId11" Type="http://schemas.openxmlformats.org/officeDocument/2006/relationships/hyperlink" Target="http://www.oa.mo.gov/purchasing-materials-management" TargetMode="External"/><Relationship Id="rId12" Type="http://schemas.openxmlformats.org/officeDocument/2006/relationships/hyperlink" Target="http://www.kansascommerce.com/" TargetMode="External"/><Relationship Id="rId13" Type="http://schemas.openxmlformats.org/officeDocument/2006/relationships/hyperlink" Target="http://www.modot.org/ecr" TargetMode="External"/><Relationship Id="rId14" Type="http://schemas.openxmlformats.org/officeDocument/2006/relationships/hyperlink" Target="http://www.mwdbe.org/" TargetMode="External"/><Relationship Id="rId15" Type="http://schemas.openxmlformats.org/officeDocument/2006/relationships/hyperlink" Target="http://www.kcmo.gov/humanrelations/resources" TargetMode="External"/><Relationship Id="rId16" Type="http://schemas.openxmlformats.org/officeDocument/2006/relationships/hyperlink" Target="http://www.stlouis-0mo.gov/sldc" TargetMode="External"/><Relationship Id="rId17" Type="http://schemas.openxmlformats.org/officeDocument/2006/relationships/hyperlink" Target="http://www.midstatesmsdc.org/" TargetMode="External"/><Relationship Id="rId18" Type="http://schemas.openxmlformats.org/officeDocument/2006/relationships/hyperlink" Target="http://www.mpmsdc.org/" TargetMode="External"/><Relationship Id="rId19" Type="http://schemas.openxmlformats.org/officeDocument/2006/relationships/hyperlink" Target="http://www.sba.gov/about-offices-content/2/3123" TargetMode="External"/><Relationship Id="rId20" Type="http://schemas.openxmlformats.org/officeDocument/2006/relationships/hyperlink" Target="http://www.sba.gov/about-offices-content/2/3124" TargetMode="External"/><Relationship Id="rId21" Type="http://schemas.openxmlformats.org/officeDocument/2006/relationships/hyperlink" Target="http://www.vetbiz.gov/" TargetMode="External"/><Relationship Id="rId22" Type="http://schemas.openxmlformats.org/officeDocument/2006/relationships/hyperlink" Target="http://www.slmbc.org/" TargetMode="External"/><Relationship Id="rId23" Type="http://schemas.openxmlformats.org/officeDocument/2006/relationships/hyperlink" Target="http://www.wbdc.org/" TargetMode="Externa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Darla</dc:creator>
  <cp:keywords>procurement, contract</cp:keywords>
  <dc:subject>Procurement Contract 16 9007 DHC</dc:subject>
  <dc:title>University of Missouri System - Procurement Contract 16 9007 DHC</dc:title>
  <dcterms:created xsi:type="dcterms:W3CDTF">2019-10-16T20:31:58Z</dcterms:created>
  <dcterms:modified xsi:type="dcterms:W3CDTF">2019-10-16T20:31:58Z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2016-03-07T00:00:00Z</vt:filetime>
  </property>
  <property fmtid="{D5CDD505-2E9C-101B-9397-08002B2CF9AE}" pid="3" name="Creator">
    <vt:lpwstr>Microsoft® Word 2013</vt:lpwstr>
  </property>
  <property fmtid="{D5CDD505-2E9C-101B-9397-08002B2CF9AE}" pid="4" name="LastSaved">
    <vt:filetime>2019-10-16T00:00:00Z</vt:filetime>
  </property>
</Properties>
</file>